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第412期</w:t>
      </w:r>
      <w:r>
        <w:t xml:space="preserve"> </w:t>
      </w:r>
      <w:r>
        <w:t xml:space="preserve">-</w:t>
      </w:r>
      <w:r>
        <w:t xml:space="preserve"> </w:t>
      </w:r>
      <w:r>
        <w:t xml:space="preserve">2014年06月27日</w:t>
      </w:r>
    </w:p>
    <w:p>
      <w:hyperlink r:id="rId21">
        <w:r>
          <w:rPr>
            <w:rStyle w:val="Link"/>
          </w:rPr>
          <w:t xml:space="preserve">网络版</w:t>
        </w:r>
      </w:hyperlink>
    </w:p>
    <w:p>
      <w:pPr>
        <w:pStyle w:val="Heading1"/>
      </w:pPr>
      <w:bookmarkStart w:id="22" w:name="法讯中国第412期"/>
      <w:bookmarkEnd w:id="22"/>
      <w:r>
        <w:t xml:space="preserve">法讯中国第412期</w:t>
      </w:r>
    </w:p>
    <w:p>
      <w:pPr>
        <w:pStyle w:val="Heading2"/>
      </w:pPr>
      <w:bookmarkStart w:id="23" w:name="资本市场"/>
      <w:bookmarkEnd w:id="23"/>
      <w:r>
        <w:t xml:space="preserve">资本市场</w:t>
      </w:r>
    </w:p>
    <w:p>
      <w:pPr>
        <w:pStyle w:val="Heading3"/>
      </w:pPr>
      <w:bookmarkStart w:id="24" w:name="中国结算发布优先股试点登记结算业务实施细则"/>
      <w:bookmarkEnd w:id="24"/>
      <w:r>
        <w:t xml:space="preserve">中国结算发布《优先股试点登记结算业务实施细则》</w:t>
      </w:r>
    </w:p>
    <w:p>
      <w:r>
        <w:t xml:space="preserve">6月20日，中国结算发布《优先股试点登记结算业务实施细则》（以下简称《细则》），将在沪深证券交易所、全国股转系统交易、转让的优先股登记结算业务均纳入了规范范畴，《细则》自发布之日起实施。</w:t>
      </w:r>
    </w:p>
    <w:p>
      <w:r>
        <w:t xml:space="preserve">《细则》主要明确了优先股的初始登记、变更登记、转换为普通股、回购（含赎回、回售)、持有人名册服务和查询、清算交收等登记结算业务的办理流程及相关申请材料。根据《细则》，发行人公开或非公开发行优先股后，即可向中国结算申请办理股份登记存管手续。中国结算根据发行人申报的优先股持有明细数据，办理优先股初始登记。优先股完成初始登记后，中国结算将持续地为投资者及发行人提供变更登记、转股、回购、权益分派等登记结算服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发文推进简政放权促进准入公平"/>
      <w:bookmarkEnd w:id="27"/>
      <w:r>
        <w:t xml:space="preserve">银监会发文推进简政放权促进准入公平</w:t>
      </w:r>
    </w:p>
    <w:p>
      <w:r>
        <w:t xml:space="preserve">银监会官网6月23日消息，6月16日，中国银监会发布了《关于推进简政放权改进市场准入工作有关事项的通知》（以下简称《通知》）。</w:t>
      </w:r>
    </w:p>
    <w:p>
      <w:r>
        <w:t xml:space="preserve">《通知》将以下事项由审批制改为报告制管理：机构筹建延期和开业延期审批；机构降格和临时停业审批；机构由于变更名称、股权、注册资本、业务范围等前置审批事项而引起的修改章程审批；非银行金融机构变更组织形式审批等。此外，《通知》要求对取消的行政审批事项坚决及时停止审批，不得拆分、合并或重组后以新的名义、条目变相审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发布关于上市公司实施员工持股计划试点的指导意见"/>
      <w:bookmarkEnd w:id="30"/>
      <w:r>
        <w:t xml:space="preserve">证监会发布《关于上市公司实施员工持股计划试点的指导意见》</w:t>
      </w:r>
    </w:p>
    <w:p>
      <w:r>
        <w:t xml:space="preserve">近日，经国务院同意，证监会制定并发布了《关于上市公司实施员工持股计划试点的指导意见》（以下简称《意见》），在上市公司中开展员工持股计划试点。</w:t>
      </w:r>
    </w:p>
    <w:p>
      <w:r>
        <w:t xml:space="preserve">《意见》明确，上市公司可以根据员工意愿实施员工持股计划，通过合法方式使员工获得本公司股票并长期持有，股份权益按约定分配给员工。实施员工持股计划，相关资金可以来自员工薪酬或以其他合法方式筹集，所需本公司股票可以来自上市公司回购、直接从二级市场购买、认购非公开发行股票、公司股东自愿赠与等合法方式。此外，《意见》还就员工持股计划的实施程序、管理模式、信息披露及内幕交易防控等问题作出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郑商所修订风控办法对期货公司会员不再限仓"/>
      <w:bookmarkEnd w:id="33"/>
      <w:r>
        <w:t xml:space="preserve">郑商所修订风控办法对期货公司会员不再限仓</w:t>
      </w:r>
    </w:p>
    <w:p>
      <w:r>
        <w:t xml:space="preserve">郑商所6月20日对《郑州商品交易所期货交易风险控制管理办法》有关条款进行修订，对于涨跌停板制度作出较大修改，并对期货公司会员不再限仓。</w:t>
      </w:r>
    </w:p>
    <w:p>
      <w:r>
        <w:t xml:space="preserve">新办法强调当某期货合约发生连续同方向单边市时，适度扩大合约交易保证金标准及涨跌停板幅度。</w:t>
      </w:r>
    </w:p>
    <w:p>
      <w:r>
        <w:t xml:space="preserve">根据修订后的要求，某期货合约在第N交易日出现单边市时，当日结算时和N+1交易日该期货合约交易保证金调整为9%；N+1交易日涨跌停板幅度调整为7%。如果N+1交易日仍出现同方向单边市，则N+1交易日结算时和N+2交易日该期货合约交易保证金标准调整为12%；N+2交易日涨跌停板幅度调整为10%。</w:t>
      </w:r>
    </w:p>
    <w:p>
      <w:r>
        <w:t xml:space="preserve">同时，取消了期货公司会员限仓相关条款，对期货公司会员不再限仓。</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外汇局印发银行对客户办理人民币与外汇衍生产品业务管理规定"/>
      <w:bookmarkEnd w:id="36"/>
      <w:r>
        <w:t xml:space="preserve">外汇局印发《银行对客户办理人民币与外汇衍生产品业务管理规定》</w:t>
      </w:r>
    </w:p>
    <w:p>
      <w:r>
        <w:t xml:space="preserve">6月23日，国家外汇管理局印发《银行对客户办理人民币与外汇衍生产品业务管理规定》（以下简称《规定》），并自2014年8月1日起施行。</w:t>
      </w:r>
    </w:p>
    <w:p>
      <w:r>
        <w:t xml:space="preserve">《规定》简化了外汇衍生产品业务的市场准入，对各类衍生产品业务实行统一的一次性准入管理。同时，《规定》降低外汇期权业务的准入门槛，下放管理权限，简化了银行分支机构的准入管理。此外，《规定》支持银行在普通欧式期权和实需交易前提下，对客户开展买入或卖出以及组合等多样化期权业务。</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上海全面放开小额外币存款利率上限"/>
      <w:bookmarkEnd w:id="39"/>
      <w:r>
        <w:t xml:space="preserve">上海全面放开小额外币存款利率上限</w:t>
      </w:r>
    </w:p>
    <w:p>
      <w:r>
        <w:t xml:space="preserve">6月26日，央行上海总部召开自贸区外币利率市场化复制推广会议，宣布经央行总行批准，从6月27日起，放开小额外币存款利率上限的改革试点由上海自贸试验区扩大到上海全市，试点扩大工作将按照“先单位存款，后个人存款”的原则分步实施。这成为自贸区首单向区外推广的金融改革政策。政策实施初期金融机构对单位客户外币存款实行自主定价，央行将择机把个人客户外币存款纳入试点范围。</w:t>
      </w:r>
    </w:p>
    <w:p>
      <w:r>
        <w:t xml:space="preserve">数据显示，截至5月底，上海外币存款余额767亿美元，约占全国的七分之一，其中小额外币存款占全国的26.4%。因此，张新表示，在上海全面复制推广放开小额外币存款利率上限的改革具有标杆作用。由于目前跨省开户不受限制，上海的定价尝试将会带来显著的溢出效应。据了解，试点推广后银行所面临的客户群将有大幅度的变化，目前在自贸区内的小额外汇存款约为10亿美元，推广后预计将提升至200亿美元左右。</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国家安监总局发布非煤矿山企业安全生产十条规定"/>
      <w:bookmarkEnd w:id="43"/>
      <w:r>
        <w:t xml:space="preserve">国家安监总局发布《非煤矿山企业安全生产十条规定》</w:t>
      </w:r>
    </w:p>
    <w:p>
      <w:r>
        <w:t xml:space="preserve">近日，《非煤矿山企业安全生产十条规定》（以下简称《规定》）以国家安全监管总局令的形式发布。</w:t>
      </w:r>
    </w:p>
    <w:p>
      <w:r>
        <w:t xml:space="preserve">《规定》针对金属非金属地下矿山、金属非金属露天矿山、金属非金属尾矿库、陆上石油天然气开采企业和海上石油天然气开采企业等五类企业，分别作出了10条具体规定。其中，有3条属于共性要求，包括安全管理和安全责任制方面的要求、人员资质方面的要求、应急救援方面的要求。根据《规定》，金属非金属地下矿山企业必须按规定设置安全出口并保持畅通，严禁独头开采。</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务"/>
      <w:bookmarkEnd w:id="46"/>
      <w:r>
        <w:t xml:space="preserve">税务</w:t>
      </w:r>
    </w:p>
    <w:p>
      <w:pPr>
        <w:pStyle w:val="Heading3"/>
      </w:pPr>
      <w:bookmarkStart w:id="47" w:name="商务部下放加工贸易业务延期审批权"/>
      <w:bookmarkEnd w:id="47"/>
      <w:r>
        <w:t xml:space="preserve">商务部下放加工贸易业务延期审批权</w:t>
      </w:r>
    </w:p>
    <w:p>
      <w:r>
        <w:t xml:space="preserve">商务部官网6月25日消息，6月19日，商务部发布通知，决定自2014年6月23日起，下放进口关税配额管理农产品加工贸易第二次及以上延期审批权。</w:t>
      </w:r>
    </w:p>
    <w:p>
      <w:r>
        <w:t xml:space="preserve">根据通知，商务部此次审批权下放所涉及的进口关税配额管理农产品包括：粮食(包括小麦、玉米、大米)、食糖、棉花、羊毛和毛条。</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保险"/>
      <w:bookmarkEnd w:id="50"/>
      <w:r>
        <w:t xml:space="preserve">保险</w:t>
      </w:r>
    </w:p>
    <w:p>
      <w:pPr>
        <w:pStyle w:val="Heading3"/>
      </w:pPr>
      <w:bookmarkStart w:id="51" w:name="保监会开展老年人住房反向抵押养老保险试点"/>
      <w:bookmarkEnd w:id="51"/>
      <w:r>
        <w:t xml:space="preserve">保监会开展老年人住房反向抵押养老保险试点</w:t>
      </w:r>
    </w:p>
    <w:p>
      <w:r>
        <w:t xml:space="preserve">保监会官网6月23日消息，6月17日，中国保监会发布《关于开展老年人住房反向抵押养老保险试点的指导意见》（以下简称《意见》）。</w:t>
      </w:r>
    </w:p>
    <w:p>
      <w:r>
        <w:t xml:space="preserve">《意见》规定了较为严格的试点资格要求，主要从开业时间、注册资本、偿付能力、专业人员以及内控管理等方面对申请试点的保险公司进行了引导。同时，《意见》特别加强了对销售行为的监管要求，从业务宣传、销售人员管理、销售过程管理、信息披露等方面做出了规定。此外，《意见》还对财务管理、服务创新、投诉处理以及加强监管等提出了相应要求。</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保监会紧急发文规范财产保险公司保险产品开发销售"/>
      <w:bookmarkEnd w:id="54"/>
      <w:r>
        <w:t xml:space="preserve">保监会紧急发文规范财产保险公司保险产品开发销售</w:t>
      </w:r>
    </w:p>
    <w:p>
      <w:r>
        <w:t xml:space="preserve">6月24日，保监会就规范财产保险公司保险产品开发销售有关问题发布紧急通知。</w:t>
      </w:r>
    </w:p>
    <w:p>
      <w:r>
        <w:t xml:space="preserve">通知要求，保险公司应当加强保险产品开发管理，产品开发应当符合保险原理。保险事故发生时，被保险人对保险标的必须有法律上承认的利益，严禁开发带有赌博或博彩性质的保险产品。此外，保险公司应当科学合理厘定保险产品费率。费率应当按照风险损失原则合理厘定，不危及保险公司偿付能力或者妨碍市场公平竞争。不得通过设置过高附加费用率，侵害保险消费者的合法权益。</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中文传媒26亿收购智明星通"/>
      <w:bookmarkEnd w:id="58"/>
      <w:r>
        <w:t xml:space="preserve">中文传媒26亿收购智明星通</w:t>
      </w:r>
    </w:p>
    <w:p>
      <w:r>
        <w:t xml:space="preserve">中文传媒6月24日披露重大资产预案，计划通过发行股份及支付现金的方式，斥资26亿元收购互联网企业北京智明星通科技有限公司100%股权。</w:t>
      </w:r>
    </w:p>
    <w:p>
      <w:r>
        <w:t xml:space="preserve">根据预案，智明星通100%股权预估值为26.6亿元，预估增值率高达2817.08%。中文传媒计划向交易对方支付股份对价16.49亿元，发行价格为12.73元/股，拟发行数量合计1.3亿股，同时支付现金对价10.11亿元。此外，中文传媒将非公开发行股份募集配套资金不超过8.87亿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远光软件1.8亿收购中合实创75股权"/>
      <w:bookmarkEnd w:id="61"/>
      <w:r>
        <w:t xml:space="preserve">远光软件1.8亿收购中合实创75%股权</w:t>
      </w:r>
    </w:p>
    <w:p>
      <w:r>
        <w:t xml:space="preserve">远光软件6月24日发布购买资产公告，公司拟以不高于1.8亿元的价格，向张勇等12名自然人非公开发行股份并支付现金，购买其持有的北京中合实创电力科技公司75%股权。</w:t>
      </w:r>
    </w:p>
    <w:p>
      <w:r>
        <w:t xml:space="preserve">公告显示，远光软件发行股份和现金对价的比例分别为66.67%和33.33%。其中，现金支付6000万元；发行股份价格为21.55元/股，预计发行数量556.84万股。</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外商投资"/>
      <w:bookmarkEnd w:id="64"/>
      <w:r>
        <w:t xml:space="preserve">外商投资</w:t>
      </w:r>
    </w:p>
    <w:p>
      <w:pPr>
        <w:pStyle w:val="Heading3"/>
      </w:pPr>
      <w:bookmarkStart w:id="65" w:name="商务部就外商投资管理工作提出改进措施"/>
      <w:bookmarkEnd w:id="65"/>
      <w:r>
        <w:t xml:space="preserve">商务部就外商投资管理工作提出改进措施</w:t>
      </w:r>
    </w:p>
    <w:p>
      <w:r>
        <w:t xml:space="preserve">商务部官网6月24日消息，6月17日，商务部发布《关于改进外资审核管理工作的通知》（以下简称《通知》）。</w:t>
      </w:r>
    </w:p>
    <w:p>
      <w:r>
        <w:t xml:space="preserve">根据《通知》，商务主管部门将取消对外商投资（含台、港、澳投资）的公司（以下简称公司）首次出资比例、货币出资比例和出资期限的限制或规定。认缴出资额、出资方式、出资期限由公司投资者（股东、发起人）自主约定，并在合营（合作）合同、公司章程中载明。《通知》要求，除法律、行政法规以及国务院决定对特定行业注册资本最低限额另有规定外，商务主管部门应取消公司最低注册资本的限制。此外，《通知》还就外资统计相关工作提出了改进要求。</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海关总署启动京津冀海关区域通关一体化改革"/>
      <w:bookmarkEnd w:id="69"/>
      <w:r>
        <w:t xml:space="preserve">海关总署启动京津冀海关区域通关一体化改革</w:t>
      </w:r>
    </w:p>
    <w:p>
      <w:r>
        <w:t xml:space="preserve">近日，海关总署发布2014年第45号公告，明确自2014年7月1日起，首先在北京、天津海关启用区域通关一体化通关方式；自2014年10月1日起，石家庄海关启用此通关方式。</w:t>
      </w:r>
    </w:p>
    <w:p>
      <w:r>
        <w:t xml:space="preserve">根据《公告》，京津冀海关区域通关一体化通关方式适用于企业在京津冀口岸海关进出口的货物。京津冀地区企业可自主选择向经营单位注册地或货物实际进出境地海关办理申报、纳税和查验放行手续。此外，《公告》取消京津冀地区报关企业跨区分支机构注册登记行政许可限制，允许报关企业在京津冀地区“一地注册、三地报关”。</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中国铁矿石贸易商面临信贷断流"/>
      <w:bookmarkEnd w:id="72"/>
      <w:r>
        <w:t xml:space="preserve">中国铁矿石贸易商面临信贷断流</w:t>
      </w:r>
    </w:p>
    <w:p>
      <w:r>
        <w:t xml:space="preserve">随着中国加强对不法大宗商品融资的打击力度，银行对贷款审批和信用证签发也更加严格，使中国的铁矿石贸易商面临信贷断流的问题。</w:t>
      </w:r>
    </w:p>
    <w:p>
      <w:r>
        <w:t xml:space="preserve">此前，在官方对青岛港口发现的金属融资骗贷进行调查之际，中国银监会下令银行加强对铁矿石融资的审查，以降低信贷违约风险。偏偏目前铁矿石价格已经大幅下跌，而且港口库存水平接近纪录高位。</w:t>
      </w:r>
    </w:p>
    <w:p>
      <w:r>
        <w:t xml:space="preserve">融资紧张可能会迫使小型贸易商出售库存，本已疲弱的价格更是雪上加霜。今年铁矿石价格已经下跌近33%，6月16日更是跌破每吨90美元，触及21个月低点。这使银行愈发担心小型贸易商可能无法偿还贷款。</w:t>
      </w:r>
    </w:p>
    <w:p>
      <w:r>
        <w:t xml:space="preserve">贸易商称，作为铁矿石贸易的主要贷款方--中资银行过去两个月加强了对全国铁矿石融资的审查，包括在中国原材料贸易枢纽--山东、金融中心--上海以及产钢大省--河北。</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r>
        <w:t xml:space="preserve"> </w:t>
      </w:r>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证监会立案调查中信研究员张明芳"/>
      <w:bookmarkEnd w:id="77"/>
      <w:r>
        <w:t xml:space="preserve">证监会立案调查中信研究员张明芳</w:t>
      </w:r>
    </w:p>
    <w:p>
      <w:r>
        <w:t xml:space="preserve">中国证监会发言人张晓军6月20日称，证监会将对中信证券研究员张明芳等涉嫌内幕信息立案调查。</w:t>
      </w:r>
    </w:p>
    <w:p>
      <w:r>
        <w:t xml:space="preserve">6月6日上午，张明芳在自己微信朋友圈发布一则关于上市公司丽珠集团的消息，称丽珠集团将于6月10日公布管理层限制性股票+股权方案。消息一出引发市场轩然大波。</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r>
        <w:t xml:space="preserve"> </w:t>
      </w:r>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国办发文要求进一步加强涉企收费管理减轻企业负担"/>
      <w:bookmarkEnd w:id="82"/>
      <w:r>
        <w:t xml:space="preserve">国办发文要求进一步加强涉企收费管理减轻企业负担</w:t>
      </w:r>
    </w:p>
    <w:p>
      <w:r>
        <w:t xml:space="preserve">近日，国务院办公厅印发《关于进一步加强涉企收费管理减轻企业负担的通知》（以下简称《通知》）。</w:t>
      </w:r>
    </w:p>
    <w:p>
      <w:r>
        <w:t xml:space="preserve">《通知》要求，各地、各部门要建立和实施涉企收费目录清单制度，对涉企行政事业性收费、政府性基金和实施政府定价或指导价的经营服务性收费实行目录清单管理并对外公开。各地区、各部门必须严格执行目录清单，目录清单之外的涉企收费，一律不得执行。同时，《通知》强调，各地、各部门必须取消没有法律法规依据的行政审批前置服务项目。</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5">
        <w:r>
          <w:rPr>
            <w:rStyle w:val="Link"/>
          </w:rPr>
          <w:t xml:space="preserve">unsubscribe@charltonslaw.com</w:t>
        </w:r>
      </w:hyperlink>
    </w:p>
    <w:p>
      <w:r>
        <w:rPr>
          <w:b/>
        </w:rPr>
        <w:t xml:space="preserve">易周律师行 - 法讯 - 中国 - 第412期 - 2014年06月27日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bc28b5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6" Target="15a.pdf" TargetMode="External" /><Relationship Type="http://schemas.openxmlformats.org/officeDocument/2006/relationships/hyperlink" Id="rId79" Target="16.pdf" TargetMode="External" /><Relationship Type="http://schemas.openxmlformats.org/officeDocument/2006/relationships/hyperlink" Id="rId81" Target="16a.pdf" TargetMode="External" /><Relationship Type="http://schemas.openxmlformats.org/officeDocument/2006/relationships/hyperlink" Id="rId84"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5" Target="http://bank.hexun.com/2014-06-20/165887604.html" TargetMode="External" /><Relationship Type="http://schemas.openxmlformats.org/officeDocument/2006/relationships/hyperlink" Id="rId73" Target="http://cn.reuters.com/article/CNAnalysesNews/idCNKBS0EV07Z20140620" TargetMode="External" /><Relationship Type="http://schemas.openxmlformats.org/officeDocument/2006/relationships/hyperlink" Id="rId78" Target="http://cn.reuters.com/article/chinaNews/idCNKBS0EV0OR20140620" TargetMode="External" /><Relationship Type="http://schemas.openxmlformats.org/officeDocument/2006/relationships/hyperlink" Id="rId34" Target="http://epaper.stcn.com/paper/zqsb/html/2014-06/21/content_586080.htm" TargetMode="External" /><Relationship Type="http://schemas.openxmlformats.org/officeDocument/2006/relationships/hyperlink" Id="rId59" Target="http://epaper.stcn.com/paper/zqsb/html/2014-06/24/content_586401.htm" TargetMode="External" /><Relationship Type="http://schemas.openxmlformats.org/officeDocument/2006/relationships/hyperlink" Id="rId62" Target="http://epaper.stcn.com/paper/zqsb/html/2014-06/24/content_586407.htm" TargetMode="External" /><Relationship Type="http://schemas.openxmlformats.org/officeDocument/2006/relationships/hyperlink" Id="rId40" Target="http://epaper.stcn.com/paper/zqsb/html/epaper/index/content_587242.htm" TargetMode="External" /><Relationship Type="http://schemas.openxmlformats.org/officeDocument/2006/relationships/hyperlink" Id="rId80" Target="http://finance.sina.com.cn/stock/t/20140621/025019479979.shtml" TargetMode="External" /><Relationship Type="http://schemas.openxmlformats.org/officeDocument/2006/relationships/hyperlink" Id="rId48" Target="http://wms.mofcom.gov.cn/article/xxfb/201406/20140600639790.shtml" TargetMode="External" /><Relationship Type="http://schemas.openxmlformats.org/officeDocument/2006/relationships/hyperlink" Id="rId28" Target="http://www.cbrc.gov.cn/chinese/home/docView/8C5F6A512FAB4D37A4F87725ADEDB2E9.html" TargetMode="External" /><Relationship Type="http://schemas.openxmlformats.org/officeDocument/2006/relationships/hyperlink" Id="rId21" Target="http://www.charltonslaw.com.cn/china-news-alerts-cn-issue-412/" TargetMode="External" /><Relationship Type="http://schemas.openxmlformats.org/officeDocument/2006/relationships/hyperlink" Id="rId25" Target="http://www.chinaclear.cn/zdjs/editor_file/20140620165420598.pdf" TargetMode="External" /><Relationship Type="http://schemas.openxmlformats.org/officeDocument/2006/relationships/hyperlink" Id="rId44" Target="http://www.chinasafety.gov.cn/newpage/Contents/Channel_5330/2014/0626/236715/content_236715.htm" TargetMode="External" /><Relationship Type="http://schemas.openxmlformats.org/officeDocument/2006/relationships/hyperlink" Id="rId52" Target="http://www.circ.gov.cn/web/site0/tab5168/info3918962.htm" TargetMode="External" /><Relationship Type="http://schemas.openxmlformats.org/officeDocument/2006/relationships/hyperlink" Id="rId55" Target="http://www.circ.gov.cn/web/site0/tab5168/info3919402.htm" TargetMode="External" /><Relationship Type="http://schemas.openxmlformats.org/officeDocument/2006/relationships/hyperlink" Id="rId31" Target="http://www.csrc.gov.cn/pub/newsite/zjhxwfb/xwdd/201406/t20140620_256427.html" TargetMode="External" /><Relationship Type="http://schemas.openxmlformats.org/officeDocument/2006/relationships/hyperlink" Id="rId70" Target="http://www.customs.gov.cn/publish/portal0/tab49564/info710895.htm" TargetMode="External" /><Relationship Type="http://schemas.openxmlformats.org/officeDocument/2006/relationships/hyperlink" Id="rId83" Target="http://www.gov.cn/zhengce/content/2014-06/26/content_8910.htm" TargetMode="External" /><Relationship Type="http://schemas.openxmlformats.org/officeDocument/2006/relationships/hyperlink" Id="rId66" Target="http://www.mofcom.gov.cn/article/b/f/201406/20140600637866.shtml" TargetMode="External" /><Relationship Type="http://schemas.openxmlformats.org/officeDocument/2006/relationships/hyperlink" Id="rId37" Target="http://www.safe.gov.cn/resources/wcmpages//wps/wcm/connect/safe_web_store/safe_web/zcfg/gjszywhtj/yhjshywgl/node_zcfg_yhjshywgl_store/61f87f80447f1fa2a6dcb7e3503d08df/" TargetMode="External" /><Relationship Type="http://schemas.openxmlformats.org/officeDocument/2006/relationships/hyperlink" Id="rId8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6" Target="15a.pdf" TargetMode="External" /><Relationship Type="http://schemas.openxmlformats.org/officeDocument/2006/relationships/hyperlink" Id="rId79" Target="16.pdf" TargetMode="External" /><Relationship Type="http://schemas.openxmlformats.org/officeDocument/2006/relationships/hyperlink" Id="rId81" Target="16a.pdf" TargetMode="External" /><Relationship Type="http://schemas.openxmlformats.org/officeDocument/2006/relationships/hyperlink" Id="rId84"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5" Target="http://bank.hexun.com/2014-06-20/165887604.html" TargetMode="External" /><Relationship Type="http://schemas.openxmlformats.org/officeDocument/2006/relationships/hyperlink" Id="rId73" Target="http://cn.reuters.com/article/CNAnalysesNews/idCNKBS0EV07Z20140620" TargetMode="External" /><Relationship Type="http://schemas.openxmlformats.org/officeDocument/2006/relationships/hyperlink" Id="rId78" Target="http://cn.reuters.com/article/chinaNews/idCNKBS0EV0OR20140620" TargetMode="External" /><Relationship Type="http://schemas.openxmlformats.org/officeDocument/2006/relationships/hyperlink" Id="rId34" Target="http://epaper.stcn.com/paper/zqsb/html/2014-06/21/content_586080.htm" TargetMode="External" /><Relationship Type="http://schemas.openxmlformats.org/officeDocument/2006/relationships/hyperlink" Id="rId59" Target="http://epaper.stcn.com/paper/zqsb/html/2014-06/24/content_586401.htm" TargetMode="External" /><Relationship Type="http://schemas.openxmlformats.org/officeDocument/2006/relationships/hyperlink" Id="rId62" Target="http://epaper.stcn.com/paper/zqsb/html/2014-06/24/content_586407.htm" TargetMode="External" /><Relationship Type="http://schemas.openxmlformats.org/officeDocument/2006/relationships/hyperlink" Id="rId40" Target="http://epaper.stcn.com/paper/zqsb/html/epaper/index/content_587242.htm" TargetMode="External" /><Relationship Type="http://schemas.openxmlformats.org/officeDocument/2006/relationships/hyperlink" Id="rId80" Target="http://finance.sina.com.cn/stock/t/20140621/025019479979.shtml" TargetMode="External" /><Relationship Type="http://schemas.openxmlformats.org/officeDocument/2006/relationships/hyperlink" Id="rId48" Target="http://wms.mofcom.gov.cn/article/xxfb/201406/20140600639790.shtml" TargetMode="External" /><Relationship Type="http://schemas.openxmlformats.org/officeDocument/2006/relationships/hyperlink" Id="rId28" Target="http://www.cbrc.gov.cn/chinese/home/docView/8C5F6A512FAB4D37A4F87725ADEDB2E9.html" TargetMode="External" /><Relationship Type="http://schemas.openxmlformats.org/officeDocument/2006/relationships/hyperlink" Id="rId21" Target="http://www.charltonslaw.com.cn/china-news-alerts-cn-issue-412/" TargetMode="External" /><Relationship Type="http://schemas.openxmlformats.org/officeDocument/2006/relationships/hyperlink" Id="rId25" Target="http://www.chinaclear.cn/zdjs/editor_file/20140620165420598.pdf" TargetMode="External" /><Relationship Type="http://schemas.openxmlformats.org/officeDocument/2006/relationships/hyperlink" Id="rId44" Target="http://www.chinasafety.gov.cn/newpage/Contents/Channel_5330/2014/0626/236715/content_236715.htm" TargetMode="External" /><Relationship Type="http://schemas.openxmlformats.org/officeDocument/2006/relationships/hyperlink" Id="rId52" Target="http://www.circ.gov.cn/web/site0/tab5168/info3918962.htm" TargetMode="External" /><Relationship Type="http://schemas.openxmlformats.org/officeDocument/2006/relationships/hyperlink" Id="rId55" Target="http://www.circ.gov.cn/web/site0/tab5168/info3919402.htm" TargetMode="External" /><Relationship Type="http://schemas.openxmlformats.org/officeDocument/2006/relationships/hyperlink" Id="rId31" Target="http://www.csrc.gov.cn/pub/newsite/zjhxwfb/xwdd/201406/t20140620_256427.html" TargetMode="External" /><Relationship Type="http://schemas.openxmlformats.org/officeDocument/2006/relationships/hyperlink" Id="rId70" Target="http://www.customs.gov.cn/publish/portal0/tab49564/info710895.htm" TargetMode="External" /><Relationship Type="http://schemas.openxmlformats.org/officeDocument/2006/relationships/hyperlink" Id="rId83" Target="http://www.gov.cn/zhengce/content/2014-06/26/content_8910.htm" TargetMode="External" /><Relationship Type="http://schemas.openxmlformats.org/officeDocument/2006/relationships/hyperlink" Id="rId66" Target="http://www.mofcom.gov.cn/article/b/f/201406/20140600637866.shtml" TargetMode="External" /><Relationship Type="http://schemas.openxmlformats.org/officeDocument/2006/relationships/hyperlink" Id="rId37" Target="http://www.safe.gov.cn/resources/wcmpages//wps/wcm/connect/safe_web_store/safe_web/zcfg/gjszywhtj/yhjshywgl/node_zcfg_yhjshywgl_store/61f87f80447f1fa2a6dcb7e3503d08df/" TargetMode="External" /><Relationship Type="http://schemas.openxmlformats.org/officeDocument/2006/relationships/hyperlink" Id="rId8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第412期 - 2014年06月27日</dc:title>
  <dc:creator/>
</cp:coreProperties>
</file>