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第414期</w:t>
      </w:r>
      <w:r>
        <w:t xml:space="preserve"> </w:t>
      </w:r>
      <w:r>
        <w:t xml:space="preserve">-</w:t>
      </w:r>
      <w:r>
        <w:t xml:space="preserve"> </w:t>
      </w:r>
      <w:r>
        <w:t xml:space="preserve">2014年07月11日</w:t>
      </w:r>
    </w:p>
    <w:p>
      <w:hyperlink r:id="rId21">
        <w:r>
          <w:rPr>
            <w:rStyle w:val="Link"/>
          </w:rPr>
          <w:t xml:space="preserve">网络版</w:t>
        </w:r>
      </w:hyperlink>
    </w:p>
    <w:p>
      <w:pPr>
        <w:pStyle w:val="Heading1"/>
      </w:pPr>
      <w:bookmarkStart w:id="22" w:name="法讯中国第414期"/>
      <w:bookmarkEnd w:id="22"/>
      <w:r>
        <w:t xml:space="preserve">法讯中国第414期</w:t>
      </w:r>
    </w:p>
    <w:p>
      <w:pPr>
        <w:pStyle w:val="Heading2"/>
      </w:pPr>
      <w:bookmarkStart w:id="23" w:name="资本市场"/>
      <w:bookmarkEnd w:id="23"/>
      <w:r>
        <w:t xml:space="preserve">资本市场</w:t>
      </w:r>
    </w:p>
    <w:p>
      <w:pPr>
        <w:pStyle w:val="Heading3"/>
      </w:pPr>
      <w:bookmarkStart w:id="24" w:name="沪国企混改意见出炉-提高证券化率"/>
      <w:bookmarkEnd w:id="24"/>
      <w:r>
        <w:t xml:space="preserve">沪国企混改意见出炉 提高证券化率</w:t>
      </w:r>
    </w:p>
    <w:p>
      <w:r>
        <w:t xml:space="preserve">7月7日，上海市委市政府正式发布了《关于推进本市国有企业积极发展混合所有制经济的若干意见（试行）》。上海国资国企改革进入新的阶段。</w:t>
      </w:r>
    </w:p>
    <w:p>
      <w:r>
        <w:t xml:space="preserve">《意见》提出，要经过3～5年的时间，除国家明确规定必须国有独资的企业外，其余企业实现股权多元化。为实现这一目标，《意见》出台了推进国有企业公司制股份改革、优化国有企业股权比例结构、加快开放性市场化联合重组，实施股权激励和员工持股等9个具体措施。</w:t>
      </w:r>
    </w:p>
    <w:p>
      <w:r>
        <w:t xml:space="preserve">其中，推进国有企业公司制股份改革，将充分利用国内外多层次资本市场。《意见》明确提出，竞争类、功能类和公共服务类三类企业都要推动核心资产上市，提高企业证券化率水平。要探索建立特殊管理股制度，试点设立优先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农行成为天津生态城跨境人民币创新业务首批银行"/>
      <w:bookmarkEnd w:id="27"/>
      <w:r>
        <w:t xml:space="preserve">农行成为天津生态城跨境人民币创新业务首批银行</w:t>
      </w:r>
    </w:p>
    <w:p>
      <w:r>
        <w:t xml:space="preserve">中新天津生态城跨境人民币创新业务试点新闻发布会召开当天，中国农业银行天津分行与天津体育之窗文化传播有限公司签订5000万元跨境人民币贷款协议，成为跨境人民币创新业务首批试点银行。农业银行跨境人民币贷款，有利于拓宽生态城内企业融资渠道，降低融资成本，以绿色金融服务实践支持天津生态城建设。</w:t>
      </w:r>
    </w:p>
    <w:p>
      <w:r>
        <w:t xml:space="preserve">天津生态城跨境人民币创新业务试点内容丰富，包括在新加坡的银行机构对生态城内企业发放跨境人民币贷款、股权投资基金人民币对外投资、生态城内企业到新加坡发行人民币债券、个人经常项下对外直接投资项下跨境人民币业务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行业"/>
      <w:bookmarkEnd w:id="30"/>
      <w:r>
        <w:t xml:space="preserve">行业</w:t>
      </w:r>
    </w:p>
    <w:p>
      <w:pPr>
        <w:pStyle w:val="Heading3"/>
      </w:pPr>
      <w:bookmarkStart w:id="31" w:name="住房城乡建设部出台意见推进建筑业发展和改革"/>
      <w:bookmarkEnd w:id="31"/>
      <w:r>
        <w:t xml:space="preserve">住房城乡建设部出台意见推进建筑业发展和改革</w:t>
      </w:r>
    </w:p>
    <w:p>
      <w:r>
        <w:t xml:space="preserve">住房城乡建设部日前出台《住房城乡建设部关于推进建筑业发展和改革的若干意见》。</w:t>
      </w:r>
    </w:p>
    <w:p>
      <w:r>
        <w:t xml:space="preserve">《意见》提出，建立统一开放的建筑市场体系，推进行政审批制度改革，改革招标投标监管方式。《意见》还要求强化工程质量安全管理，加强勘察设计质量监管，落实各方主体的工程质量责任；促进建筑业发展方式转变，加大工程总承包推行力度。《意见》强调，要加强建筑业发展和改革工作的组织和实施，加强协会能力建设和行业自律。</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大气污染防治重点工业行业清洁生产技术推行方案印发"/>
      <w:bookmarkEnd w:id="34"/>
      <w:r>
        <w:t xml:space="preserve">《大气污染防治重点工业行业清洁生产技术推行方案》印发</w:t>
      </w:r>
    </w:p>
    <w:p>
      <w:r>
        <w:t xml:space="preserve">近日，工信部印发《大气污染防治重点工业行业清洁生产技术推行方案》（以下简称《方案》）。</w:t>
      </w:r>
    </w:p>
    <w:p>
      <w:r>
        <w:t xml:space="preserve">《方案》要求，在钢铁、建材、石化、化工、有色等重点行业企业推广采用先进适用清洁生产技术，实施清洁生产技术改造，大幅度削减工业烟（粉）尘、二氧化硫、氮氧化物、挥发性有机物等大气污染物产生和排放，确保到2017年底上述行业主要污染物排污强度比2012年下降30%以上。《方案》还列出了上述各行业可适用的推广技术及适用范围等。</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税务"/>
      <w:bookmarkEnd w:id="37"/>
      <w:r>
        <w:t xml:space="preserve">税务</w:t>
      </w:r>
    </w:p>
    <w:p>
      <w:pPr>
        <w:pStyle w:val="Heading3"/>
      </w:pPr>
      <w:bookmarkStart w:id="38" w:name="国税总局明确纳税人对外开具增值税专用发票有关问题"/>
      <w:bookmarkEnd w:id="38"/>
      <w:r>
        <w:t xml:space="preserve">国税总局明确纳税人对外开具增值税专用发票有关问题</w:t>
      </w:r>
    </w:p>
    <w:p>
      <w:r>
        <w:t xml:space="preserve">国税总局日前发布《关于纳税人对外开具增值税专用发票有关问题的公告》，自2014年8月1日起施行。</w:t>
      </w:r>
    </w:p>
    <w:p>
      <w:r>
        <w:t xml:space="preserve">《公告》列举了三种情形，纳税人对外开具增值税专用发票，同时符合的，则不属于虚开增值税专用发票，受票方可以抵扣进项税额：一、纳税人向受票方纳税人销售了货物，或者提供了增值税应税劳务、应税服务；二、纳税人向受票方纳税人收取了所销售货物、所提供应税劳务或者应税服务的款项，或者取得了索取销售款项的凭据；三、纳税人按规定向受票方纳税人开具的增值税专用发票相关内容，与所销售货物、所提供应税劳务或者应税服务相符，且该增值税专用发票是纳税人合法取得、并以自己名义开具的。</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纳税信用管理办法和重大税收违法案件信息公布办法发布"/>
      <w:bookmarkEnd w:id="41"/>
      <w:r>
        <w:t xml:space="preserve">《纳税信用管理办法》和《重大税收违法案件信息公布办法》发布</w:t>
      </w:r>
    </w:p>
    <w:p>
      <w:r>
        <w:t xml:space="preserve">经公开征求意见，国税总局近日正式发布了《纳税信用管理办法（试行）》和《重大税收违法案件信息公布办法（试行）》，自2014年10月1日起施行。</w:t>
      </w:r>
    </w:p>
    <w:p>
      <w:r>
        <w:t xml:space="preserve">《纳税信用管理办法（试行）》规定了纳税信用信息的采集、评价、确定、发布和应用等内容，适用于已办理税务登记，从事生产、经营并适用查账征收的企业纳税人。其中，纳税信用评价采取年度评价指标得分和直接判级方式，直接判级适用于有严重失信行为的纳税人。</w:t>
      </w:r>
    </w:p>
    <w:p>
      <w:r>
        <w:t xml:space="preserve">《重大税收违法案件信息公布办法（试行）》对重大税收违法案件公布原则、公布机关、公布标准、公布内容、管理措施、公布期限、异议处理等内容进行了明确。</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上海自贸区出台十项税收新政"/>
      <w:bookmarkEnd w:id="44"/>
      <w:r>
        <w:t xml:space="preserve">上海自贸区出台十项税收新政</w:t>
      </w:r>
    </w:p>
    <w:p>
      <w:r>
        <w:t xml:space="preserve">国税总局日前发布《国家税务总局关于支持中国（上海）自由贸易试验区创新税收服务的通知》。《通知》要求上海国地税在自贸试验区内落实好以下十项措施：十项创新措施：网上自动赋码、网上发票应用、网上区域通办、网上自主办税、网上审批备案、网上资格认定、网上非贸管理、网上按季申报、网上信用评价、网上服务体验。</w:t>
      </w:r>
    </w:p>
    <w:p>
      <w:r>
        <w:t xml:space="preserve">其中，网上自动赋码将原先由纳税人发起的税务登记申请，转变为税务机关根据工商、质监等部门提供的企业信息，由系统自动赋予税务登记号码。网上发票应用指在自贸区内，推广电商企业电子发票应用，将受票方由个人消费者扩大到企业单位，同时积极研究金融保险行业的电子发票应用，逐步扩大区内电子发票的应用范围。</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海关总署规范市场采购贸易监管方式"/>
      <w:bookmarkEnd w:id="47"/>
      <w:r>
        <w:t xml:space="preserve">海关总署规范市场采购贸易监管方式</w:t>
      </w:r>
    </w:p>
    <w:p>
      <w:r>
        <w:t xml:space="preserve">海关总署日前发布2014年第54号公告，明确市场采购贸易方式是指由符合条件的经营者在经国家商务主管等部门认定的市场集聚区内采购的、单票报关单商品货值15万（含15万）美元以下、并在采购地办理出口商品通关手续的贸易方式。另外，未经市场采购商品认定体系确认的商品、使用现金结算的商品等不适用市场采购贸易方式。根据《公告》，以市场采购贸易方式出口的商品，每票报关单随附的商品清单所列品种在10种以上的可实行简化申报，但有需征收出口关税的商品的则不适用简化申报。</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并购"/>
      <w:bookmarkEnd w:id="50"/>
      <w:r>
        <w:t xml:space="preserve">并购</w:t>
      </w:r>
    </w:p>
    <w:p>
      <w:pPr>
        <w:pStyle w:val="Heading3"/>
      </w:pPr>
      <w:bookmarkStart w:id="51" w:name="金刚玻璃5亿收购汉恩互联"/>
      <w:bookmarkEnd w:id="51"/>
      <w:r>
        <w:t xml:space="preserve">金刚玻璃5亿收购汉恩互联</w:t>
      </w:r>
    </w:p>
    <w:p>
      <w:r>
        <w:t xml:space="preserve">金刚玻璃7月8日发布的重大资产重组公告显示，公司拟以5.06亿元对价收购南京汉恩数字互联文化有限公司100%的股权。其中，公司拟向汉恩互联三位股东袁帆、高媛和凯亚投资支付现金2.63亿元，剩余2.43亿元以发行股份方式支付，发行价格为7.23元/股，共计发行3359万股；同时金刚玻璃还将以定向增发方式，募集配套资金1.68亿元。</w:t>
      </w:r>
    </w:p>
    <w:p>
      <w:r>
        <w:t xml:space="preserve">汉恩互联是数字营销体验整体解决方案提供商，目前已确立了“全息多媒体互动数字展示+移动运营”线下线上两大核心业务板块。</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家电网收购意大利电网股份可能存在利益冲突"/>
      <w:bookmarkEnd w:id="54"/>
      <w:r>
        <w:t xml:space="preserve">国家电网收购意大利电网股份可能存在利益冲突</w:t>
      </w:r>
    </w:p>
    <w:p>
      <w:r>
        <w:t xml:space="preserve">据路透社报道，消息人士称，在有意收购意大利电网大宗股份的两家公司中，中国国家电网是其中之一，但这种联系可能会产生问题，因为中国和意大利公司都打算在欧洲收购资产。</w:t>
      </w:r>
    </w:p>
    <w:p>
      <w:r>
        <w:t xml:space="preserve">意大利国有银行CDP计划出售旗下投资载体CDP Reti多达49%的股份，该载体握有燃气网络公司Snam的股份，而且很快亦将掌控意大利电网Terna。这是该国推行私有化以削减公共债务计划的一部分。</w:t>
      </w:r>
    </w:p>
    <w:p>
      <w:r>
        <w:t xml:space="preserve">有意收购大宗股份的只有中国国家电网(SGCC)和澳洲Industry Funds Management(IFM)，不过消息人士亦表示，CDP还在寻找投资基金以收购较少股份。如果不能与潜在投资者就上述投资载体的管理达成一致，这宗出售交易可能面临风险。</w:t>
      </w:r>
    </w:p>
    <w:p>
      <w:r>
        <w:t xml:space="preserve">作为欧洲最大的电网运营商之一，Terna对希腊电网公司ADMIE拟出售的66%权益有兴趣。消息人士称，中国国家电网也在竞购ADMIE。</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江淮汽车64亿吸收合并江汽集团"/>
      <w:bookmarkEnd w:id="57"/>
      <w:r>
        <w:t xml:space="preserve">江淮汽车64亿吸收合并江汽集团</w:t>
      </w:r>
    </w:p>
    <w:p>
      <w:r>
        <w:t xml:space="preserve">根据江淮汽车公告，江淮汽车拟通过向江汽集团全体股东发行股份的方式吸收合并江汽集团，交易对价约为63.98亿元。同时，江淮汽车将增发募集配套资金5.96亿元。江汽集团全部资产、负债、业务及与业务、资产直接相关的员工并入江淮汽车，江汽集团予以注销，江汽集团持有的江淮汽车股份也相应注销。</w:t>
      </w:r>
    </w:p>
    <w:p>
      <w:r>
        <w:t xml:space="preserve">值得注意的是，江淮汽车吸收合并江汽集团后，原江汽集团旗下的另一上市公司安凯客车仍将保持独立上市公司的地位。江淮汽车将持有安凯客车20.73%的股权，成为其第一大股东。</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知识产权"/>
      <w:bookmarkEnd w:id="60"/>
      <w:r>
        <w:t xml:space="preserve">知识产权</w:t>
      </w:r>
    </w:p>
    <w:p>
      <w:pPr>
        <w:pStyle w:val="Heading3"/>
      </w:pPr>
      <w:bookmarkStart w:id="61" w:name="特斯拉中国商标案升级-中国商人占宝生索赔2000多万"/>
      <w:bookmarkEnd w:id="61"/>
      <w:r>
        <w:t xml:space="preserve">特斯拉中国商标案升级 中国商人占宝生索赔2000多万</w:t>
      </w:r>
    </w:p>
    <w:p>
      <w:r>
        <w:t xml:space="preserve">在特斯拉进入中国市场前，中国商人占宝生就注册了“特斯拉”的中英文商标。近日他在北京提起诉讼，要求美国特斯拉关闭在中国的汽车展示厅、服务中心和充电系统；停止在中国的所有销售和营销活动；并支付2390万元人民币，约合390万美元的赔偿。</w:t>
      </w:r>
    </w:p>
    <w:p>
      <w:r>
        <w:t xml:space="preserve">对此美国特斯拉回应表示：中国监管部门已经撤销了占宝生“不当获得”的商标，占宝生的起诉“没有任何实质意义”。</w:t>
      </w:r>
    </w:p>
    <w:p>
      <w:r>
        <w:t xml:space="preserve">特斯拉方面回应说占宝生的诉讼没有意义，而占宝生本人回应最终裁决之前，特斯拉就是对他侵权。</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工商总局修订发布驰名商标认定和保护规定"/>
      <w:bookmarkEnd w:id="64"/>
      <w:r>
        <w:t xml:space="preserve">工商总局修订发布《驰名商标认定和保护规定》</w:t>
      </w:r>
    </w:p>
    <w:p>
      <w:r>
        <w:t xml:space="preserve">工商总局官网7月10日消息，7月3日，国家工商总局修订公布了《驰名商标认定和保护规定》（以下简称《规定》），自公布之日起30日后施行。</w:t>
      </w:r>
    </w:p>
    <w:p>
      <w:r>
        <w:t xml:space="preserve">修订后的《规定》明确了驰名商标的定义及认定原则。驰名商标是在中国为相关公众所熟知的商标，驰名商标认定遵循个案认定、被动保护的原则。《规定》还从请求驰名商标保护的当事人角度出发，对不同类型案件中认定保护请求的提出以及证据材料的要求作了明确规定。此外，《规定》还明确了当事人和工商部门的工作职责，对各项职责进行了细化和完善。</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他"/>
      <w:bookmarkEnd w:id="67"/>
      <w:r>
        <w:t xml:space="preserve">其他</w:t>
      </w:r>
    </w:p>
    <w:p>
      <w:pPr>
        <w:pStyle w:val="Heading3"/>
      </w:pPr>
      <w:bookmarkStart w:id="68" w:name="国务院部署五措施-促进市场公平竞争维护正常秩序"/>
      <w:bookmarkEnd w:id="68"/>
      <w:r>
        <w:t xml:space="preserve">国务院部署五措施 促进市场公平竞争维护正常秩序</w:t>
      </w:r>
    </w:p>
    <w:p>
      <w:r>
        <w:t xml:space="preserve">国务院日前发布《国务院关于促进市场公平竞争维护市场正常秩序的若干意见》，确立了到2020年建成体制比较成熟、制度更加定型的市场监管体系的总体目标，并进一步确定放宽市场准入五大政策。</w:t>
      </w:r>
    </w:p>
    <w:p>
      <w:r>
        <w:t xml:space="preserve">《意见》具体指出，要从改革市场准入制度、大力减少行政审批事项、禁止变相审批、打破地区封锁和行业垄断、完善市场退出机制等五个方面放宽市场准入。《意见》还确立促进市场公平竞争维护市场正常秩序的五项基本原则：简政放权；依法监管；公正透明；权责一致；社会共治。</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中信资源采取法律行动以取回存放在青岛港的原材料"/>
      <w:bookmarkEnd w:id="71"/>
      <w:r>
        <w:t xml:space="preserve">中信资源采取法律行动以取回存放在青岛港的原材料</w:t>
      </w:r>
    </w:p>
    <w:p>
      <w:r>
        <w:t xml:space="preserve">中信资源7月9日在一份公告中表示，公司在青岛海事法院向青岛港保税仓库的营运商提出诉讼，要求营运商确认其所持有的氧化铝和电解铜的拥有权属于中信资源。公司希望向其放行和交付前述全部氧化铝和电解铜，若不能交付，则对公司进行赔偿。</w:t>
      </w:r>
    </w:p>
    <w:p>
      <w:r>
        <w:t xml:space="preserve">中信资源6月18日表示，该公司存放在青岛港的电解铝，超过一半下落不明。该公司当天表示，法院在执行该集团取得的查封令时，未能对其存放在青岛港的约123，446吨氧化铝进行查封；公司持有存放在青岛港223，270吨氧化铝和7，486吨电解铜的拥有权和所有权的证明文件。</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最高人民法院发布四五改革纲要"/>
      <w:bookmarkEnd w:id="74"/>
      <w:r>
        <w:t xml:space="preserve">最高人民法院发布“四五改革纲要”</w:t>
      </w:r>
    </w:p>
    <w:p>
      <w:r>
        <w:t xml:space="preserve">最高人民法院7月9日上午在山东省济南市召开新闻发布会，向社会公布《人民法院第四个五年改革纲要（2014-2018）》（以下简称“四五改革纲要”），并介绍人民法院深化司法改革的推进情况。据悉，围绕建立具有中国特色的社会主义审判权力运行体系这一关键目标，“四五改革纲要”针对8个重点领域，提出了45项改革举措。</w:t>
      </w:r>
    </w:p>
    <w:p>
      <w:r>
        <w:t xml:space="preserve">“四五改革纲要”提出，要坚持以法官为中心、以服务审判工作为重心，建立分类科学、结构合理、分工明确、保障有力的法院人员管理制度。一是配合省以下法院人事统管改革，推动在省一级设立法官遴选委员会，从专业角度提出法官人选，由组织人事、纪检监察部门在政治素养、廉洁自律等方面考察把关，人大依照法律程序任免；二是推进法院人员分类管理制度改革，将法院人员分为法官、审判辅助人员和司法行政人员，实行分类管理。与之配套的，则是拓宽审判辅助人员的来源渠道，建立审判辅助人员的正常增补机制，减少法官事务性工作负担；三是建立法官员额制，对法官在编制限额内实行员额管理，确保法官主要集中在审判一线，高素质人才能够充实到审判一线；四是完善法官等级定期晋升机制，确保一线办案法官即使不担任领导职务，也可以正常晋升至较高的法官等级；五是完善法官选任制度，针对不同层级的法院，设置不同的法官任职条件。初任法官首先到基层人民法院任职，上级法院法官原则上从下一级法院遴选产生。</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7">
        <w:r>
          <w:rPr>
            <w:rStyle w:val="Link"/>
          </w:rPr>
          <w:t xml:space="preserve">unsubscribe@charltonslaw.com</w:t>
        </w:r>
      </w:hyperlink>
    </w:p>
    <w:p>
      <w:r>
        <w:rPr>
          <w:b/>
        </w:rPr>
        <w:t xml:space="preserve">易周律师行 - 法讯 - 中国 - 第414期 - 2014年07月11日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1ad6f4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25" Target="http://epaper.stcn.com/paper/zqsb/html/2014-07/08/content_590703.htm" TargetMode="External" /><Relationship Type="http://schemas.openxmlformats.org/officeDocument/2006/relationships/hyperlink" Id="rId52" Target="http://epaper.stcn.com/paper/zqsb/html/2014-07/08/content_590798.htm" TargetMode="External" /><Relationship Type="http://schemas.openxmlformats.org/officeDocument/2006/relationships/hyperlink" Id="rId58" Target="http://epaper.stcn.com/paper/zqsb/html/epaper/index/content_591702.htm" TargetMode="External" /><Relationship Type="http://schemas.openxmlformats.org/officeDocument/2006/relationships/hyperlink" Id="rId72" Target="http://finance.sina.com.cn/money/future/20140709/090819650607.shtml" TargetMode="External" /><Relationship Type="http://schemas.openxmlformats.org/officeDocument/2006/relationships/hyperlink" Id="rId62" Target="http://news.163.com/14/0710/08/A0PEPID000014JB5.html" TargetMode="External" /><Relationship Type="http://schemas.openxmlformats.org/officeDocument/2006/relationships/hyperlink" Id="rId28" Target="http://tj.house.sina.com.cn/news/2014-07-10/10272813275.shtml" TargetMode="External" /><Relationship Type="http://schemas.openxmlformats.org/officeDocument/2006/relationships/hyperlink" Id="rId21" Target="http://www.charltonslaw.com.cn/china-news-alerts-cn-issue-414/" TargetMode="External" /><Relationship Type="http://schemas.openxmlformats.org/officeDocument/2006/relationships/hyperlink" Id="rId75" Target="http://www.chinacourt.org/article/detail/2014/07/id/1336425.shtml" TargetMode="External" /><Relationship Type="http://schemas.openxmlformats.org/officeDocument/2006/relationships/hyperlink" Id="rId55" Target="http://www.chinapower.com.cn/article/1267/art1267255.asp" TargetMode="External" /><Relationship Type="http://schemas.openxmlformats.org/officeDocument/2006/relationships/hyperlink" Id="rId39" Target="http://www.chinatax.gov.cn/n2226/n2271/n2272/c749730/content.html" TargetMode="External" /><Relationship Type="http://schemas.openxmlformats.org/officeDocument/2006/relationships/hyperlink" Id="rId45" Target="http://www.chinatax.gov.cn/n2735/n2834/n2835/c749564/content.html" TargetMode="External" /><Relationship Type="http://schemas.openxmlformats.org/officeDocument/2006/relationships/hyperlink" Id="rId42" Target="http://www.chinatax.gov.cn/n2735/n2834/n2835/c749631/content.html" TargetMode="External" /><Relationship Type="http://schemas.openxmlformats.org/officeDocument/2006/relationships/hyperlink" Id="rId48" Target="http://www.customs.gov.cn/publish/portal0/tab49564/info711788.htm" TargetMode="External" /><Relationship Type="http://schemas.openxmlformats.org/officeDocument/2006/relationships/hyperlink" Id="rId69" Target="http://www.gov.cn/zhengce/content/2014-07/08/content_8926.htm" TargetMode="External" /><Relationship Type="http://schemas.openxmlformats.org/officeDocument/2006/relationships/hyperlink" Id="rId35" Target="http://www.miit.gov.cn/n11293472/n11293832/n12843926/n13917012/16054444.html" TargetMode="External" /><Relationship Type="http://schemas.openxmlformats.org/officeDocument/2006/relationships/hyperlink" Id="rId32" Target="http://www.mohurd.gov.cn/zcfg/jsbwj_0/jsbwjjzsc/201407/t20140707_218403.html" TargetMode="External" /><Relationship Type="http://schemas.openxmlformats.org/officeDocument/2006/relationships/hyperlink" Id="rId65" Target="http://www.saic.gov.cn/zwgk/zyfb/zjl/fgs/201407/t20140710_146642.html" TargetMode="External" /><Relationship Type="http://schemas.openxmlformats.org/officeDocument/2006/relationships/hyperlink" Id="rId7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25" Target="http://epaper.stcn.com/paper/zqsb/html/2014-07/08/content_590703.htm" TargetMode="External" /><Relationship Type="http://schemas.openxmlformats.org/officeDocument/2006/relationships/hyperlink" Id="rId52" Target="http://epaper.stcn.com/paper/zqsb/html/2014-07/08/content_590798.htm" TargetMode="External" /><Relationship Type="http://schemas.openxmlformats.org/officeDocument/2006/relationships/hyperlink" Id="rId58" Target="http://epaper.stcn.com/paper/zqsb/html/epaper/index/content_591702.htm" TargetMode="External" /><Relationship Type="http://schemas.openxmlformats.org/officeDocument/2006/relationships/hyperlink" Id="rId72" Target="http://finance.sina.com.cn/money/future/20140709/090819650607.shtml" TargetMode="External" /><Relationship Type="http://schemas.openxmlformats.org/officeDocument/2006/relationships/hyperlink" Id="rId62" Target="http://news.163.com/14/0710/08/A0PEPID000014JB5.html" TargetMode="External" /><Relationship Type="http://schemas.openxmlformats.org/officeDocument/2006/relationships/hyperlink" Id="rId28" Target="http://tj.house.sina.com.cn/news/2014-07-10/10272813275.shtml" TargetMode="External" /><Relationship Type="http://schemas.openxmlformats.org/officeDocument/2006/relationships/hyperlink" Id="rId21" Target="http://www.charltonslaw.com.cn/china-news-alerts-cn-issue-414/" TargetMode="External" /><Relationship Type="http://schemas.openxmlformats.org/officeDocument/2006/relationships/hyperlink" Id="rId75" Target="http://www.chinacourt.org/article/detail/2014/07/id/1336425.shtml" TargetMode="External" /><Relationship Type="http://schemas.openxmlformats.org/officeDocument/2006/relationships/hyperlink" Id="rId55" Target="http://www.chinapower.com.cn/article/1267/art1267255.asp" TargetMode="External" /><Relationship Type="http://schemas.openxmlformats.org/officeDocument/2006/relationships/hyperlink" Id="rId39" Target="http://www.chinatax.gov.cn/n2226/n2271/n2272/c749730/content.html" TargetMode="External" /><Relationship Type="http://schemas.openxmlformats.org/officeDocument/2006/relationships/hyperlink" Id="rId45" Target="http://www.chinatax.gov.cn/n2735/n2834/n2835/c749564/content.html" TargetMode="External" /><Relationship Type="http://schemas.openxmlformats.org/officeDocument/2006/relationships/hyperlink" Id="rId42" Target="http://www.chinatax.gov.cn/n2735/n2834/n2835/c749631/content.html" TargetMode="External" /><Relationship Type="http://schemas.openxmlformats.org/officeDocument/2006/relationships/hyperlink" Id="rId48" Target="http://www.customs.gov.cn/publish/portal0/tab49564/info711788.htm" TargetMode="External" /><Relationship Type="http://schemas.openxmlformats.org/officeDocument/2006/relationships/hyperlink" Id="rId69" Target="http://www.gov.cn/zhengce/content/2014-07/08/content_8926.htm" TargetMode="External" /><Relationship Type="http://schemas.openxmlformats.org/officeDocument/2006/relationships/hyperlink" Id="rId35" Target="http://www.miit.gov.cn/n11293472/n11293832/n12843926/n13917012/16054444.html" TargetMode="External" /><Relationship Type="http://schemas.openxmlformats.org/officeDocument/2006/relationships/hyperlink" Id="rId32" Target="http://www.mohurd.gov.cn/zcfg/jsbwj_0/jsbwjjzsc/201407/t20140707_218403.html" TargetMode="External" /><Relationship Type="http://schemas.openxmlformats.org/officeDocument/2006/relationships/hyperlink" Id="rId65" Target="http://www.saic.gov.cn/zwgk/zyfb/zjl/fgs/201407/t20140710_146642.html" TargetMode="External" /><Relationship Type="http://schemas.openxmlformats.org/officeDocument/2006/relationships/hyperlink" Id="rId7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第414期 - 2014年07月11日</dc:title>
  <dc:creator/>
</cp:coreProperties>
</file>