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第417期</w:t>
      </w:r>
      <w:r>
        <w:t xml:space="preserve"> </w:t>
      </w:r>
      <w:r>
        <w:t xml:space="preserve">-</w:t>
      </w:r>
      <w:r>
        <w:t xml:space="preserve"> </w:t>
      </w:r>
      <w:r>
        <w:t xml:space="preserve">2014年08月01日</w:t>
      </w:r>
    </w:p>
    <w:p>
      <w:hyperlink r:id="rId21">
        <w:r>
          <w:rPr>
            <w:rStyle w:val="Link"/>
          </w:rPr>
          <w:t xml:space="preserve">网络版</w:t>
        </w:r>
      </w:hyperlink>
    </w:p>
    <w:p>
      <w:pPr>
        <w:pStyle w:val="Heading1"/>
      </w:pPr>
      <w:bookmarkStart w:id="22" w:name="法讯中国第417期"/>
      <w:bookmarkEnd w:id="22"/>
      <w:r>
        <w:t xml:space="preserve">法讯中国第417期</w:t>
      </w:r>
    </w:p>
    <w:p>
      <w:pPr>
        <w:pStyle w:val="Heading2"/>
      </w:pPr>
      <w:bookmarkStart w:id="23" w:name="资本市场"/>
      <w:bookmarkEnd w:id="23"/>
      <w:r>
        <w:t xml:space="preserve">资本市场</w:t>
      </w:r>
    </w:p>
    <w:p>
      <w:pPr>
        <w:pStyle w:val="Heading3"/>
      </w:pPr>
      <w:bookmarkStart w:id="24" w:name="中国结算发布可交换公司债券登记结算业务细则"/>
      <w:bookmarkEnd w:id="24"/>
      <w:r>
        <w:t xml:space="preserve">中国结算发布《可交换公司债券登记结算业务细则》</w:t>
      </w:r>
    </w:p>
    <w:p>
      <w:r>
        <w:t xml:space="preserve">7月29日，中国证券登记结算有限责任公司发布《可交换公司债券登记结算业务细则》（以下简称《细则》），并自公布之日起实施。</w:t>
      </w:r>
    </w:p>
    <w:p>
      <w:r>
        <w:t xml:space="preserve">《细则》就预备交换股票的担保及信托登记、可交换公司债券的登记、清算交收及风险管理、换股业务等内容作出了规范。根据《细则》，发行人预备用于交换的股票及其孳息（包括资本公积转增股本、送股、分红、派息等），是其发行可交换公司债券的担保物，用于对债券持有人交换股票和本期债券本息偿付提供担保。</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财政部修改企业会计准则基本准则"/>
      <w:bookmarkEnd w:id="27"/>
      <w:r>
        <w:t xml:space="preserve">财政部修改《企业会计准则——基本准则》</w:t>
      </w:r>
    </w:p>
    <w:p>
      <w:r>
        <w:t xml:space="preserve">财政部网站7月29日消息，7月23日，财政部发布《财政部关于修改〈企业会计准则－－基本准则〉的决定》（以下简称《决定》），《决定》自发布之日起施行。</w:t>
      </w:r>
    </w:p>
    <w:p>
      <w:r>
        <w:t xml:space="preserve">根据《决定》，原《企业会计准则——基本准则》第四十二条第五项被修改为：“（五）公允价值。在公允价值计量下，资产和负债按照市场参与者在计量日发生的有序交易中，出售资产所能收到或者转移负债所需支付的价格计量。”同时，财政部对原《企业会计准则——基本准则》根据《决定》作了相应修改，并重新公布。</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银监会发布金融租赁公司专业子公司管理暂行规定"/>
      <w:bookmarkEnd w:id="30"/>
      <w:r>
        <w:t xml:space="preserve">银监会发布《金融租赁公司专业子公司管理暂行规定》</w:t>
      </w:r>
    </w:p>
    <w:p>
      <w:r>
        <w:t xml:space="preserve">近日，银监会制定发布了《金融租赁公司专业子公司管理暂行规定》（以下简称《规定》），并自发布之日起施行。</w:t>
      </w:r>
    </w:p>
    <w:p>
      <w:r>
        <w:t xml:space="preserve">《规定》所称专业子公司，是指金融租赁公司依照相关法律法规在中国境内自由贸易区、保税地区及境外，为从事特定领域融资租赁业务而设立的专业化租赁子公司。《规定》允许金融租赁公司在飞机、船舶等特定业务领域设立专业化租赁子公司，同时允许专业子公司在境外设立项目公司开展融资租赁业务。《规定》明确，金融租赁公司专业子公司为持牌的金融机构，具有独立法人性质。</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全国股份转让系统发布非上市公众公司重大资产重组业务指引"/>
      <w:bookmarkEnd w:id="33"/>
      <w:r>
        <w:t xml:space="preserve">全国股份转让系统发布非上市公众公司重大资产重组业务指引</w:t>
      </w:r>
    </w:p>
    <w:p>
      <w:r>
        <w:t xml:space="preserve">7月25日，全国股份转让系统发布了《全国中小企业股份转让系统非上市公众公司重大资产重组业务指引（试行）》（以下简称《指引》）及其配套规则。</w:t>
      </w:r>
    </w:p>
    <w:p>
      <w:r>
        <w:t xml:space="preserve">《指引》对公司重大资产重组的具体操作流程作出细化规定，对公司申请暂停转让、提交内幕知情人信息、发行股份购买资产等具体环节作出明确规定。</w:t>
      </w:r>
    </w:p>
    <w:p>
      <w:r>
        <w:t xml:space="preserve">《指引》对退市公司重大资产重组的规则适用进行了单章规定，并对退市公司重大资产重组的风险提示作出特别要求，要求退市公司在披露重大资产重组报告书时应当同时发布特别提示，对本次重大资产重组是否符合《上市公司重大资产重组管理办法》的要求以及公司在信息披露、公司治理方面的规范性进行说明。</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银监会批准三家民营银行筹建申请"/>
      <w:bookmarkEnd w:id="36"/>
      <w:r>
        <w:t xml:space="preserve">银监会批准三家民营银行筹建申请</w:t>
      </w:r>
    </w:p>
    <w:p>
      <w:r>
        <w:t xml:space="preserve">中国银监会主席尚福林7月25日表示，银监会已正式批准三家民营银行的筹建申请。</w:t>
      </w:r>
    </w:p>
    <w:p>
      <w:r>
        <w:t xml:space="preserve">这三家民营银行分别是：腾讯、百业源、立业为主发起人，在广东省深圳市设立深圳前海微众银行；正泰、华峰为主发起人，在浙江省温州市设立温州民商银行；以及华北、麦购为主发起人，在天津市设立天津金城银行。</w:t>
      </w:r>
    </w:p>
    <w:p>
      <w:r>
        <w:t xml:space="preserve">在今年两会期间公布首批民营银行试点名单后，7月中下旬，这三家试点银行筹建小组向银监会提交了正式筹建申请并获批复同意。筹建方案均是在现行商业银行法等法律法规框架下制定的，与现有银行业金融机构公平竞争。同时，民营银行发起人在出资之外还自愿承担了更多的责任，支持试点银行的更好发展。试点银行均坚持纯民资发起原则，确定了自担风险的有关安排，股东承诺自愿接受延伸监管，并将在开业前制定银行恢复与处置计划。</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2"/>
      </w:pPr>
      <w:bookmarkStart w:id="39" w:name="行业"/>
      <w:bookmarkEnd w:id="39"/>
      <w:r>
        <w:t xml:space="preserve">行业</w:t>
      </w:r>
    </w:p>
    <w:p>
      <w:pPr>
        <w:pStyle w:val="Heading3"/>
      </w:pPr>
      <w:bookmarkStart w:id="40" w:name="环保部印发京津冀及周边地区重点行业大气污染限期治理方案"/>
      <w:bookmarkEnd w:id="40"/>
      <w:r>
        <w:t xml:space="preserve">环保部印发《京津冀及周边地区重点行业大气污染限期治理方案》</w:t>
      </w:r>
    </w:p>
    <w:p>
      <w:r>
        <w:t xml:space="preserve">7月25日，环境保护部印发《京津冀及周边地区重点行业大气污染限期治理方案》（以下简称《方案》）。</w:t>
      </w:r>
    </w:p>
    <w:p>
      <w:r>
        <w:t xml:space="preserve">《方案》明确了京津冀及周边地区重点行业大气污染限期治理的五项重点任务：一是加快火电企业脱硫脱硝除尘改造；二是抓紧钢铁企业脱硫除尘设施建设；三是加大水泥企业脱硝除尘改造力度；四是推进平板玻璃企业大气污染综合治理。五是加强环保监控设施建设。</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北京市发布新增产业禁止和限制目录"/>
      <w:bookmarkEnd w:id="43"/>
      <w:r>
        <w:t xml:space="preserve">北京市发布新增产业禁止和限制目录</w:t>
      </w:r>
    </w:p>
    <w:p>
      <w:r>
        <w:t xml:space="preserve">北京市人民政府网站7月25日消息，7月21日，北京市正式发布了《北京市新增产业的禁止和限制目录（2014年版）》 (以下简称《目录》)。</w:t>
      </w:r>
    </w:p>
    <w:p>
      <w:r>
        <w:t xml:space="preserve">根据规定，新增固定资产投资项目和新设立各类市场主体须执行《目录》。此外，《目录》中管理措施分为全市和四类功能区域(即首都功能核心区、城市功能拓展区、城市发展新区和生态涵养发展区)两个层面，全市层面的管理措施须在全市范围内普遍执行；四类功能区域层面的管理措施是指须在执行全市层面管理措施基础上，增加的差异化管理措施。</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电动汽车用电享受扶持性电价政策"/>
      <w:bookmarkEnd w:id="46"/>
      <w:r>
        <w:t xml:space="preserve">电动汽车用电享受扶持性电价政策</w:t>
      </w:r>
    </w:p>
    <w:p>
      <w:r>
        <w:t xml:space="preserve">国家发改委近日下发了《关于电动汽车用电价格政策有关问题的通知》，确定对电动汽车充换电设施用电实行扶持性电价政策。</w:t>
      </w:r>
    </w:p>
    <w:p>
      <w:r>
        <w:t xml:space="preserve">《通知》提出，要按照确保电动汽车使用成本显著低于燃油（或燃气）汽车使用成本原则，合理制定充换电服务费。在充换电设施经营企业向用户收取的电费、充换电服务费这两项收费中，电费按照国家规定的电价政策执行，充换电服务费由地方按照“有倾斜、有优惠”原则实行政府指导价管理。</w:t>
      </w:r>
    </w:p>
    <w:p>
      <w:r>
        <w:t xml:space="preserve">《通知》指出， 2020年前，各地要通过财政补贴、无偿划拨充换电设施建设场所等方式，积极降低运营成本，合理制定充换电服务费，让消费者得到更多实惠，增强电动汽车竞争力。今后，根据市场发展情况，充换电服务费逐步通过市场竞争形成。</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杭州温州等地宣布放开住房限购政策"/>
      <w:bookmarkEnd w:id="49"/>
      <w:r>
        <w:t xml:space="preserve">杭州、温州等地宣布放开住房限购政策</w:t>
      </w:r>
    </w:p>
    <w:p>
      <w:r>
        <w:t xml:space="preserve">7月28日晚间，杭州市住保房管局以官方微信方式，宣布杭州限购政策松绑。</w:t>
      </w:r>
    </w:p>
    <w:p>
      <w:r>
        <w:t xml:space="preserve">通告指出，今年以来，杭州房地产市场总体平稳，但住房供求的区域性、结构性矛盾比较突出。经研究，报市政府同意，从7月29日零时起，购买萧山区、余杭区住房（含商品住房、二手住房）不需提供住房情况查询记录；购买主城区140平方米及以上住房（含商品住房、二手住房），不需提供住房情况查询记录。</w:t>
      </w:r>
    </w:p>
    <w:p>
      <w:r>
        <w:t xml:space="preserve">浙江省温州市住房和城乡建设委员会7月29日下午召开发布会宣布，从即日起放开住房限购政策，在房屋交易登记时不再核查现有住房情况，在外温州人和新温州人在温购房享受与温州市户籍居民同等待遇。</w:t>
      </w:r>
    </w:p>
    <w:p>
      <w:r>
        <w:t xml:space="preserve">7月30日，宁波市住建委官方微博登出消息称，从7月31日起，宁波开始取消限购。至此宁波成为继杭州、温州之后，浙江省第三个官方发声确认限购松绑的城市。</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r>
        <w:t xml:space="preserve"> </w:t>
      </w:r>
      <w:hyperlink r:id="rId52">
        <w:r>
          <w:rPr>
            <w:rStyle w:val="Link"/>
          </w:rPr>
          <w:t xml:space="preserve">来源</w:t>
        </w:r>
      </w:hyperlink>
      <w:r>
        <w:t xml:space="preserve"> </w:t>
      </w:r>
      <w:r>
        <w:t xml:space="preserve">(</w:t>
      </w:r>
      <w:hyperlink r:id="rId53">
        <w:r>
          <w:rPr>
            <w:rStyle w:val="Link"/>
          </w:rPr>
          <w:t xml:space="preserve">副本</w:t>
        </w:r>
      </w:hyperlink>
      <w:r>
        <w:t xml:space="preserve">),</w:t>
      </w:r>
      <w:r>
        <w:t xml:space="preserve"> </w:t>
      </w:r>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2"/>
      </w:pPr>
      <w:bookmarkStart w:id="56" w:name="知识产权"/>
      <w:bookmarkEnd w:id="56"/>
      <w:r>
        <w:t xml:space="preserve">知识产权</w:t>
      </w:r>
    </w:p>
    <w:p>
      <w:pPr>
        <w:pStyle w:val="Heading3"/>
      </w:pPr>
      <w:bookmarkStart w:id="57" w:name="知识产权局等八部门发文要求加强和改进知识产权管理工作"/>
      <w:bookmarkEnd w:id="57"/>
      <w:r>
        <w:t xml:space="preserve">知识产权局等八部门发文要求加强和改进知识产权管理工作</w:t>
      </w:r>
    </w:p>
    <w:p>
      <w:r>
        <w:t xml:space="preserve">日前，国家知识产权局、教育部、科技部等八部门联合印发《关于深入实施国家知识产权战略 加强和改进知识产权管理的若干意见》（以下简称《意见》）。</w:t>
      </w:r>
    </w:p>
    <w:p>
      <w:r>
        <w:t xml:space="preserve">《意见》指出，各相关部门要完善企业研发费用税前加计扣除政策，将发明人奖励计入研发成本，研究改革事业单位科技成果转化相关处置收益政策，鼓励金融机构继续创新开发专利许可证券化、专利保险试点等新型金融产品和服务，对开展知识产权质押贷款业务的金融机构提供金融支持，并通过国家科技成果转化引导基金对科技成果转化贷款给予风险补偿。</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2"/>
      </w:pPr>
      <w:bookmarkStart w:id="60" w:name="wto"/>
      <w:bookmarkEnd w:id="60"/>
      <w:r>
        <w:t xml:space="preserve">WTO</w:t>
      </w:r>
    </w:p>
    <w:p>
      <w:pPr>
        <w:pStyle w:val="Heading3"/>
      </w:pPr>
      <w:bookmarkStart w:id="61" w:name="六部门发文规范进出口环节经营性服务和收费"/>
      <w:bookmarkEnd w:id="61"/>
      <w:r>
        <w:t xml:space="preserve">六部门发文规范进出口环节经营性服务和收费</w:t>
      </w:r>
    </w:p>
    <w:p>
      <w:r>
        <w:t xml:space="preserve">日前，国家发展改革委、财政部、交通运输部、商务部、海关总署、质检总局联合印发《关于整顿规范进出口环节经营性服务和收费的通知》（以下简称《通知》）。</w:t>
      </w:r>
    </w:p>
    <w:p>
      <w:r>
        <w:t xml:space="preserve">根据《通知》，此次整顿规范工作主要涉及港口码头服务、口岸检验和查验、进出口管理平台服务三个重点领域。其中，在进出口管理平台服务领域，凡属政府应提供的一般公共服务，应通过同级财政预算安排相关平台服务经费，一律不得通过有关信息技术公司等市场经营主体向企业收费。</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2"/>
      </w:pPr>
      <w:bookmarkStart w:id="64" w:name="并购"/>
      <w:bookmarkEnd w:id="64"/>
      <w:r>
        <w:t xml:space="preserve">并购</w:t>
      </w:r>
    </w:p>
    <w:p>
      <w:pPr>
        <w:pStyle w:val="Heading3"/>
      </w:pPr>
      <w:bookmarkStart w:id="65" w:name="丽鹏股份收购华宇园林"/>
      <w:bookmarkEnd w:id="65"/>
      <w:r>
        <w:t xml:space="preserve">丽鹏股份收购华宇园林</w:t>
      </w:r>
    </w:p>
    <w:p>
      <w:r>
        <w:t xml:space="preserve">丽鹏股份7月31日公布重组预案，公司拟以9.99亿元收购重庆华宇园林股份有限公司100%股权。此次收购后，丽鹏股份将实现从单一的铝板复合型防伪印刷和防伪瓶盖制造行业，向生产制造与园林绿化产业并行的双主业转变。丽鹏股份表示，公司将实现多元化发展战略，降低宏观经济和白酒行业波动对公司业绩的影响程度。</w:t>
      </w:r>
    </w:p>
    <w:p>
      <w:r>
        <w:t xml:space="preserve">预案显示，丽鹏股份与华宇园林全体58名股东于2014年7月29日签订了《资产购买协议》，华宇园林100%股权的交易对价为9.99亿元。丽鹏股份以发行股份方式支付交易对价的76.98%，总计1.02亿股，发行价不低于7.57元/股。</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3"/>
      </w:pPr>
      <w:bookmarkStart w:id="68" w:name="大洲兴业收购在扬影视"/>
      <w:bookmarkEnd w:id="68"/>
      <w:r>
        <w:t xml:space="preserve">大洲兴业收购在扬影视</w:t>
      </w:r>
    </w:p>
    <w:p>
      <w:r>
        <w:t xml:space="preserve">大洲兴业7月31日发布非公开发行股票预案，拟募集资金收购在扬影视100%股权，拟发行不超过1.45亿股，发行价格为5.99元/股，募资总额不超8.6亿元。</w:t>
      </w:r>
    </w:p>
    <w:p>
      <w:r>
        <w:t xml:space="preserve">大洲兴业表示，通过收购在扬影视，公司将进入盈利能力较强、发展前景广阔的影视文化传播行业，增强公司可持续发展能力，打造上市公司有色金属采选与电影、电视剧制作的双主业格局。</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天龙集团购广州橙果60股权"/>
      <w:bookmarkEnd w:id="71"/>
      <w:r>
        <w:t xml:space="preserve">天龙集团购广州橙果60%股权</w:t>
      </w:r>
    </w:p>
    <w:p>
      <w:r>
        <w:t xml:space="preserve">天龙集团7月29日公告，拟出资6000万元收购广州橙果广告有限公司60%的股权，尝试进入互联网营销领域。</w:t>
      </w:r>
    </w:p>
    <w:p>
      <w:r>
        <w:t xml:space="preserve">此次跨界收购的广州橙果成立于2010年，主要为客户提供全网全程的数字营销服务，主要服务于广汽集团等国内大型汽车制造厂商。</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3"/>
      </w:pPr>
      <w:bookmarkStart w:id="74" w:name="福日电子8亿收购中诺通讯"/>
      <w:bookmarkEnd w:id="74"/>
      <w:r>
        <w:t xml:space="preserve">福日电子8亿收购中诺通讯</w:t>
      </w:r>
    </w:p>
    <w:p>
      <w:r>
        <w:t xml:space="preserve">福日电子重大资产重组方案8月1日公布。公司以8.29元/股向中诺通讯发行9650.18万股，购买对方100%股权，双方约定交易价格为8亿元。</w:t>
      </w:r>
    </w:p>
    <w:p>
      <w:r>
        <w:t xml:space="preserve">预案显示，中诺通讯100%股权评估值为8.14亿元，增值率为137.97%，双方协商交易价格为8亿元。福日电子向中诺通讯发行股份，同时拟非公开发行股票2717万股，募集配套资金不超过2.03亿元，发行底价为7.47元/股，用于福日电子终端研发及营销网络建设、企业管理信息化系统建设和支付本次交易的相关费用。</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2"/>
      </w:pPr>
      <w:bookmarkStart w:id="77" w:name="其他"/>
      <w:bookmarkEnd w:id="77"/>
      <w:r>
        <w:t xml:space="preserve">其他</w:t>
      </w:r>
    </w:p>
    <w:p>
      <w:pPr>
        <w:pStyle w:val="Heading3"/>
      </w:pPr>
      <w:bookmarkStart w:id="78" w:name="国务院出台意见进一步推进户籍制度改革"/>
      <w:bookmarkEnd w:id="78"/>
      <w:r>
        <w:t xml:space="preserve">国务院出台意见进一步推进户籍制度改革</w:t>
      </w:r>
    </w:p>
    <w:p>
      <w:r>
        <w:t xml:space="preserve">日前，国务院正式出台了《关于进一步推进户籍制度改革的意见》（以下简称《意见》）。</w:t>
      </w:r>
    </w:p>
    <w:p>
      <w:r>
        <w:t xml:space="preserve">《意见》明确了进一步推进户籍制度改革的指导思想、目标任务、政策措施和实现路径，包括总体要求、进一步调整户口迁移政策、创新人口管理、切实保障农业转移人口及其他常住人口合法权益和切实加强组织领导等五个部分。</w:t>
      </w:r>
    </w:p>
    <w:p>
      <w:r>
        <w:t xml:space="preserve">在创新人口管理方面，《意见》明确，建立城乡统一的户口登记制度，取消农业户口与非农业户口性质区分和由此衍生的蓝印户口等户口类型，统一登记为居民户口；建立居住证制度，公民离开常住户口所在地到其他设区的市级以上城市居住半年以上的，在居住地申领居住证。《意见》强调，居住证持有人享有与当地户籍人口同等的劳动就业、基本公共教育、基本医疗卫生服务、计划生育服务、公共文化服务、证照办理服务等权利。</w:t>
      </w:r>
    </w:p>
    <w:p>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Heading3"/>
      </w:pPr>
      <w:bookmarkStart w:id="81" w:name="中国上海自由贸易试验区条例8月起施行"/>
      <w:bookmarkEnd w:id="81"/>
      <w:r>
        <w:t xml:space="preserve">《中国（上海）自由贸易试验区条例》8月起施行</w:t>
      </w:r>
    </w:p>
    <w:p>
      <w:r>
        <w:t xml:space="preserve">7月25日，上海市人民代表大会常务委员会正式公布《中国（上海）自由贸易试验区条例》（以下简称《条例》），《条例》自2014年8月1日起施行。</w:t>
      </w:r>
    </w:p>
    <w:p>
      <w:r>
        <w:t xml:space="preserve">《条例》共九章，计五十七条，设计了涵盖管理体制、投资开放、贸易便利、金融服务、税收管理、综合监管、法治环境等方面的总体制度框架。同时，《条例》将上海自贸区半年试点工作以来有关负面清单管理模式、工商登记制度创新、贸易监管制度创新、金融创新以及政府监管模式创新等方面的改革创新措施，予以确认和完善。</w:t>
      </w:r>
    </w:p>
    <w:p>
      <w:hyperlink r:id="rId82">
        <w:r>
          <w:rPr>
            <w:rStyle w:val="Link"/>
          </w:rPr>
          <w:t xml:space="preserve">来源</w:t>
        </w:r>
      </w:hyperlink>
      <w:r>
        <w:t xml:space="preserve"> </w:t>
      </w:r>
      <w:r>
        <w:t xml:space="preserve">(</w:t>
      </w:r>
      <w:hyperlink r:id="rId83">
        <w:r>
          <w:rPr>
            <w:rStyle w:val="Link"/>
          </w:rPr>
          <w:t xml:space="preserve">副本</w:t>
        </w:r>
      </w:hyperlink>
      <w:r>
        <w:t xml:space="preserve">)</w:t>
      </w:r>
    </w:p>
    <w:p>
      <w:pPr>
        <w:pStyle w:val="Heading3"/>
      </w:pPr>
      <w:bookmarkStart w:id="84" w:name="陷食品安全丑闻百胜餐饮集团股价遭重挫"/>
      <w:bookmarkEnd w:id="84"/>
      <w:r>
        <w:t xml:space="preserve">陷食品安全丑闻，百胜餐饮集团股价遭重挫</w:t>
      </w:r>
    </w:p>
    <w:p>
      <w:r>
        <w:t xml:space="preserve">受7月21日供应商违规行为影响，7月21日百胜餐饮股价下挫4.25%，过去5个交易日，股价累计下跌6.92%；百胜餐饮的竞争对手麦当劳股价当日也下挫1.5%至97.55美元。</w:t>
      </w:r>
    </w:p>
    <w:p>
      <w:r>
        <w:t xml:space="preserve">导致此次百胜餐饮股价重挫的原因，是其肉品供应商上海福喜公司为百胜旗下餐饮连锁企业供应过期变质肉类，并篡改肉制品生产日期等一系列违规行为。公开资料显示，上海福喜公司系美国福喜集团子公司，后者是一家横跨全球17个国家拥有50余家食品加工厂的国际化食品集团。</w:t>
      </w:r>
    </w:p>
    <w:p>
      <w:r>
        <w:t xml:space="preserve">消息一出，便激起中国消费者的不满情绪。事实上，近年国际快餐连锁企业的食品安全问题一直屡见不鲜。2005年3月，中国相关监管部门就监测出肯德基的产品中有人造化学制剂“苏丹红一号”成分；2007年，肯德基、麦当劳也被监管部门查验出使用滤油粉清理浑浊食物油，反复使用；2010年，麦当劳产品麦乐鸡被美国媒体披露包含橡胶化学成分等等。</w:t>
      </w:r>
    </w:p>
    <w:p>
      <w:hyperlink r:id="rId85">
        <w:r>
          <w:rPr>
            <w:rStyle w:val="Link"/>
          </w:rPr>
          <w:t xml:space="preserve">来源</w:t>
        </w:r>
      </w:hyperlink>
      <w:r>
        <w:t xml:space="preserve"> </w:t>
      </w:r>
      <w:r>
        <w:t xml:space="preserve">(</w:t>
      </w:r>
      <w:hyperlink r:id="rId86">
        <w:r>
          <w:rPr>
            <w:rStyle w:val="Link"/>
          </w:rPr>
          <w:t xml:space="preserve">副本</w:t>
        </w:r>
      </w:hyperlink>
      <w:r>
        <w:t xml:space="preserve">)</w:t>
      </w:r>
    </w:p>
    <w:p>
      <w:pPr>
        <w:pStyle w:val="Heading3"/>
      </w:pPr>
      <w:bookmarkStart w:id="87" w:name="周永康被立案审查"/>
      <w:bookmarkEnd w:id="87"/>
      <w:r>
        <w:t xml:space="preserve">周永康被立案审查</w:t>
      </w:r>
    </w:p>
    <w:p>
      <w:r>
        <w:t xml:space="preserve">新华社北京7月29日消息，鉴于周永康涉嫌严重违纪，中共中央决定，依据《中国共产党章程》和《中国共产党纪律检查机关案件检查工作条例》的有关规定，由中共中央纪律检查委员会对其立案审查。</w:t>
      </w:r>
    </w:p>
    <w:p>
      <w:r>
        <w:t xml:space="preserve">周永康被立案审查，中国公众已不感到意外。他的亲属和他在职时的一些下属纷纷因贪腐出事，不断强化舆论对他本人也有问题、并终将被立案审查的预期。7月29的重大消息是对这一预期的回应。</w:t>
      </w:r>
    </w:p>
    <w:p>
      <w:r>
        <w:t xml:space="preserve">中国社会受到的震动是深层次的。周永康是第一名在反腐败浪潮中落马的原常委级官员，他被审查必会修正很多人对于反腐败能走多远这一关键性问题的看法。</w:t>
      </w:r>
    </w:p>
    <w:p>
      <w:hyperlink r:id="rId88">
        <w:r>
          <w:rPr>
            <w:rStyle w:val="Link"/>
          </w:rPr>
          <w:t xml:space="preserve">来源</w:t>
        </w:r>
      </w:hyperlink>
      <w:r>
        <w:t xml:space="preserve"> </w:t>
      </w:r>
      <w:r>
        <w:t xml:space="preserve">(</w:t>
      </w:r>
      <w:hyperlink r:id="rId89">
        <w:r>
          <w:rPr>
            <w:rStyle w:val="Link"/>
          </w:rPr>
          <w:t xml:space="preserve">副本</w:t>
        </w:r>
      </w:hyperlink>
      <w:r>
        <w:t xml:space="preserve">),</w:t>
      </w:r>
      <w:r>
        <w:t xml:space="preserve"> </w:t>
      </w:r>
      <w:hyperlink r:id="rId90">
        <w:r>
          <w:rPr>
            <w:rStyle w:val="Link"/>
          </w:rPr>
          <w:t xml:space="preserve">来源</w:t>
        </w:r>
      </w:hyperlink>
      <w:r>
        <w:t xml:space="preserve"> </w:t>
      </w:r>
      <w:r>
        <w:t xml:space="preserve">(</w:t>
      </w:r>
      <w:hyperlink r:id="rId91">
        <w:r>
          <w:rPr>
            <w:rStyle w:val="Link"/>
          </w:rPr>
          <w:t xml:space="preserve">副本</w:t>
        </w:r>
      </w:hyperlink>
      <w:r>
        <w:t xml:space="preserve">)</w:t>
      </w:r>
    </w:p>
    <w:p>
      <w:pPr>
        <w:pStyle w:val="Heading3"/>
      </w:pPr>
      <w:bookmarkStart w:id="92" w:name="最高人民法院规范执行程序中迟延履行期间债务利息的计算"/>
      <w:bookmarkEnd w:id="92"/>
      <w:r>
        <w:t xml:space="preserve">最高人民法院规范执行程序中迟延履行期间债务利息的计算</w:t>
      </w:r>
    </w:p>
    <w:p>
      <w:r>
        <w:t xml:space="preserve">最高人民法院日前发布了《关于执行程序中计算迟延履行期间的债务利息适用法律若干问题的解释》（以下简称《解释》），自2014年8月1日起施行。</w:t>
      </w:r>
    </w:p>
    <w:p>
      <w:r>
        <w:t xml:space="preserve">《解释》首次规定了一般债务利息与加倍部分债务利息的关系，计算加倍部分债务利息的截止时间、扣除期间，外币案件如何计算加倍部分债务利息等内容。同时，《解释》重新规定和细化了起算时间、执行款项的清偿顺序等内容。</w:t>
      </w:r>
    </w:p>
    <w:p>
      <w:r>
        <w:t xml:space="preserve">根据《解释》，被执行人的财产不足以清偿全部债务的，应当先清偿生效法律文书确定的金钱债务，再清偿加倍部分债务利息，但当事人对清偿顺序另有约定的除外。</w:t>
      </w:r>
    </w:p>
    <w:p>
      <w:hyperlink r:id="rId93">
        <w:r>
          <w:rPr>
            <w:rStyle w:val="Link"/>
          </w:rPr>
          <w:t xml:space="preserve">来源</w:t>
        </w:r>
      </w:hyperlink>
      <w:r>
        <w:t xml:space="preserve"> </w:t>
      </w:r>
      <w:r>
        <w:t xml:space="preserve">(</w:t>
      </w:r>
      <w:hyperlink r:id="rId9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5">
        <w:r>
          <w:rPr>
            <w:rStyle w:val="Link"/>
          </w:rPr>
          <w:t xml:space="preserve">unsubscribe@charltonslaw.com</w:t>
        </w:r>
      </w:hyperlink>
    </w:p>
    <w:p>
      <w:r>
        <w:rPr>
          <w:b/>
        </w:rPr>
        <w:t xml:space="preserve">易周律师行 - 法讯 - 中国 - 第417期 - 2014年08月01日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dfc71a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9" Target="10.pdf" TargetMode="External" /><Relationship Type="http://schemas.openxmlformats.org/officeDocument/2006/relationships/hyperlink" Id="rId63" Target="11.pdf" TargetMode="External" /><Relationship Type="http://schemas.openxmlformats.org/officeDocument/2006/relationships/hyperlink" Id="rId67" Target="12.pdf" TargetMode="External" /><Relationship Type="http://schemas.openxmlformats.org/officeDocument/2006/relationships/hyperlink" Id="rId70" Target="13.pdf" TargetMode="External" /><Relationship Type="http://schemas.openxmlformats.org/officeDocument/2006/relationships/hyperlink" Id="rId73" Target="14.pdf" TargetMode="External" /><Relationship Type="http://schemas.openxmlformats.org/officeDocument/2006/relationships/hyperlink" Id="rId76" Target="15.pdf" TargetMode="External" /><Relationship Type="http://schemas.openxmlformats.org/officeDocument/2006/relationships/hyperlink" Id="rId80" Target="16.pdf" TargetMode="External" /><Relationship Type="http://schemas.openxmlformats.org/officeDocument/2006/relationships/hyperlink" Id="rId83" Target="17.pdf" TargetMode="External" /><Relationship Type="http://schemas.openxmlformats.org/officeDocument/2006/relationships/hyperlink" Id="rId86" Target="18.pdf" TargetMode="External" /><Relationship Type="http://schemas.openxmlformats.org/officeDocument/2006/relationships/hyperlink" Id="rId89" Target="19.pdf" TargetMode="External" /><Relationship Type="http://schemas.openxmlformats.org/officeDocument/2006/relationships/hyperlink" Id="rId91" Target="19a.pdf" TargetMode="External" /><Relationship Type="http://schemas.openxmlformats.org/officeDocument/2006/relationships/hyperlink" Id="rId29" Target="2.pdf" TargetMode="External" /><Relationship Type="http://schemas.openxmlformats.org/officeDocument/2006/relationships/hyperlink" Id="rId94" Target="20.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53" Target="9a.pdf" TargetMode="External" /><Relationship Type="http://schemas.openxmlformats.org/officeDocument/2006/relationships/hyperlink" Id="rId55" Target="9b.pdf" TargetMode="External" /><Relationship Type="http://schemas.openxmlformats.org/officeDocument/2006/relationships/hyperlink" Id="rId50" Target="http://epaper.stcn.com/paper/zqsb/html/2014-07/29/content_597750.htm" TargetMode="External" /><Relationship Type="http://schemas.openxmlformats.org/officeDocument/2006/relationships/hyperlink" Id="rId72" Target="http://epaper.stcn.com/paper/zqsb/html/2014-07/29/content_597773.htm" TargetMode="External" /><Relationship Type="http://schemas.openxmlformats.org/officeDocument/2006/relationships/hyperlink" Id="rId52" Target="http://epaper.stcn.com/paper/zqsb/html/2014-07/30/content_598100.htm" TargetMode="External" /><Relationship Type="http://schemas.openxmlformats.org/officeDocument/2006/relationships/hyperlink" Id="rId66" Target="http://epaper.stcn.com/paper/zqsb/html/epaper/index/content_598567.htm" TargetMode="External" /><Relationship Type="http://schemas.openxmlformats.org/officeDocument/2006/relationships/hyperlink" Id="rId69" Target="http://epaper.stcn.com/paper/zqsb/html/epaper/index/content_598569.htm" TargetMode="External" /><Relationship Type="http://schemas.openxmlformats.org/officeDocument/2006/relationships/hyperlink" Id="rId47" Target="http://epaper.stcn.com/paper/zqsb/html/epaper/index/content_598576.htm" TargetMode="External" /><Relationship Type="http://schemas.openxmlformats.org/officeDocument/2006/relationships/hyperlink" Id="rId75" Target="http://epaper.stcn.com/paper/zqsb/html/epaper/index/content_599007.htm" TargetMode="External" /><Relationship Type="http://schemas.openxmlformats.org/officeDocument/2006/relationships/hyperlink" Id="rId85" Target="http://finance.sina.com.cn/consume/puguangtai/20140723/010019787785.shtml" TargetMode="External" /><Relationship Type="http://schemas.openxmlformats.org/officeDocument/2006/relationships/hyperlink" Id="rId37" Target="http://news.sina.com.cn/c/2014-07-25/151130579315.shtml" TargetMode="External" /><Relationship Type="http://schemas.openxmlformats.org/officeDocument/2006/relationships/hyperlink" Id="rId88" Target="http://news.sina.com.cn/c/2014-07-29/175930597405.shtml" TargetMode="External" /><Relationship Type="http://schemas.openxmlformats.org/officeDocument/2006/relationships/hyperlink" Id="rId90" Target="http://news.sina.com.cn/pl/2014-07-30/000630598119.shtml" TargetMode="External" /><Relationship Type="http://schemas.openxmlformats.org/officeDocument/2006/relationships/hyperlink" Id="rId54" Target="http://news.xinhuanet.com/2014-07/31/c_126816993.htm" TargetMode="External" /><Relationship Type="http://schemas.openxmlformats.org/officeDocument/2006/relationships/hyperlink" Id="rId93" Target="http://rmfyb.chinacourt.org/paper/html/2014-07/31/content_85715.htm?div=-1" TargetMode="External" /><Relationship Type="http://schemas.openxmlformats.org/officeDocument/2006/relationships/hyperlink" Id="rId28" Target="http://tfs.mof.gov.cn/zhengwuxinxi/caizhengbuling/201407/t20140729_1119494.html" TargetMode="External" /><Relationship Type="http://schemas.openxmlformats.org/officeDocument/2006/relationships/hyperlink" Id="rId31" Target="http://www.cbrc.gov.cn/chinese/home/docView/6B902B93F79F4752BFC4D9B019BB2E58.html" TargetMode="External" /><Relationship Type="http://schemas.openxmlformats.org/officeDocument/2006/relationships/hyperlink" Id="rId21" Target="http://www.charltonslaw.com.cn/china-news-alerts-cn-issue-417/" TargetMode="External" /><Relationship Type="http://schemas.openxmlformats.org/officeDocument/2006/relationships/hyperlink" Id="rId25" Target="http://www.chinaclear.cn/zdjs/editor_file/20140729135134198.pdf" TargetMode="External" /><Relationship Type="http://schemas.openxmlformats.org/officeDocument/2006/relationships/hyperlink" Id="rId79" Target="http://www.gov.cn/zhengce/content/2014-07/30/content_8944.htm" TargetMode="External" /><Relationship Type="http://schemas.openxmlformats.org/officeDocument/2006/relationships/hyperlink" Id="rId34" Target="http://www.neeq.com.cn/detail?id=EA83870D14Z885520&amp;type=16CC2ACB37Z1684EB0" TargetMode="External" /><Relationship Type="http://schemas.openxmlformats.org/officeDocument/2006/relationships/hyperlink" Id="rId62" Target="http://www.sdpc.gov.cn/gzdt/201407/t20140730_620592.html" TargetMode="External" /><Relationship Type="http://schemas.openxmlformats.org/officeDocument/2006/relationships/hyperlink" Id="rId58" Target="http://www.sipo.gov.cn/tz/gz/201407/t20140729_986566.html" TargetMode="External" /><Relationship Type="http://schemas.openxmlformats.org/officeDocument/2006/relationships/hyperlink" Id="rId82" Target="http://www.spcsc.sh.cn/shrdgzw/node5/node47/u1ai57639.html" TargetMode="External" /><Relationship Type="http://schemas.openxmlformats.org/officeDocument/2006/relationships/hyperlink" Id="rId41" Target="http://www.zhb.gov.cn/gkml/hbb/bwj/201407/t20140729_280610.htm" TargetMode="External" /><Relationship Type="http://schemas.openxmlformats.org/officeDocument/2006/relationships/hyperlink" Id="rId44" Target="http://zhengwu.beijing.gov.cn/gzdt/gggs/t1362418.htm" TargetMode="External" /><Relationship Type="http://schemas.openxmlformats.org/officeDocument/2006/relationships/hyperlink" Id="rId9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9" Target="10.pdf" TargetMode="External" /><Relationship Type="http://schemas.openxmlformats.org/officeDocument/2006/relationships/hyperlink" Id="rId63" Target="11.pdf" TargetMode="External" /><Relationship Type="http://schemas.openxmlformats.org/officeDocument/2006/relationships/hyperlink" Id="rId67" Target="12.pdf" TargetMode="External" /><Relationship Type="http://schemas.openxmlformats.org/officeDocument/2006/relationships/hyperlink" Id="rId70" Target="13.pdf" TargetMode="External" /><Relationship Type="http://schemas.openxmlformats.org/officeDocument/2006/relationships/hyperlink" Id="rId73" Target="14.pdf" TargetMode="External" /><Relationship Type="http://schemas.openxmlformats.org/officeDocument/2006/relationships/hyperlink" Id="rId76" Target="15.pdf" TargetMode="External" /><Relationship Type="http://schemas.openxmlformats.org/officeDocument/2006/relationships/hyperlink" Id="rId80" Target="16.pdf" TargetMode="External" /><Relationship Type="http://schemas.openxmlformats.org/officeDocument/2006/relationships/hyperlink" Id="rId83" Target="17.pdf" TargetMode="External" /><Relationship Type="http://schemas.openxmlformats.org/officeDocument/2006/relationships/hyperlink" Id="rId86" Target="18.pdf" TargetMode="External" /><Relationship Type="http://schemas.openxmlformats.org/officeDocument/2006/relationships/hyperlink" Id="rId89" Target="19.pdf" TargetMode="External" /><Relationship Type="http://schemas.openxmlformats.org/officeDocument/2006/relationships/hyperlink" Id="rId91" Target="19a.pdf" TargetMode="External" /><Relationship Type="http://schemas.openxmlformats.org/officeDocument/2006/relationships/hyperlink" Id="rId29" Target="2.pdf" TargetMode="External" /><Relationship Type="http://schemas.openxmlformats.org/officeDocument/2006/relationships/hyperlink" Id="rId94" Target="20.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53" Target="9a.pdf" TargetMode="External" /><Relationship Type="http://schemas.openxmlformats.org/officeDocument/2006/relationships/hyperlink" Id="rId55" Target="9b.pdf" TargetMode="External" /><Relationship Type="http://schemas.openxmlformats.org/officeDocument/2006/relationships/hyperlink" Id="rId50" Target="http://epaper.stcn.com/paper/zqsb/html/2014-07/29/content_597750.htm" TargetMode="External" /><Relationship Type="http://schemas.openxmlformats.org/officeDocument/2006/relationships/hyperlink" Id="rId72" Target="http://epaper.stcn.com/paper/zqsb/html/2014-07/29/content_597773.htm" TargetMode="External" /><Relationship Type="http://schemas.openxmlformats.org/officeDocument/2006/relationships/hyperlink" Id="rId52" Target="http://epaper.stcn.com/paper/zqsb/html/2014-07/30/content_598100.htm" TargetMode="External" /><Relationship Type="http://schemas.openxmlformats.org/officeDocument/2006/relationships/hyperlink" Id="rId66" Target="http://epaper.stcn.com/paper/zqsb/html/epaper/index/content_598567.htm" TargetMode="External" /><Relationship Type="http://schemas.openxmlformats.org/officeDocument/2006/relationships/hyperlink" Id="rId69" Target="http://epaper.stcn.com/paper/zqsb/html/epaper/index/content_598569.htm" TargetMode="External" /><Relationship Type="http://schemas.openxmlformats.org/officeDocument/2006/relationships/hyperlink" Id="rId47" Target="http://epaper.stcn.com/paper/zqsb/html/epaper/index/content_598576.htm" TargetMode="External" /><Relationship Type="http://schemas.openxmlformats.org/officeDocument/2006/relationships/hyperlink" Id="rId75" Target="http://epaper.stcn.com/paper/zqsb/html/epaper/index/content_599007.htm" TargetMode="External" /><Relationship Type="http://schemas.openxmlformats.org/officeDocument/2006/relationships/hyperlink" Id="rId85" Target="http://finance.sina.com.cn/consume/puguangtai/20140723/010019787785.shtml" TargetMode="External" /><Relationship Type="http://schemas.openxmlformats.org/officeDocument/2006/relationships/hyperlink" Id="rId37" Target="http://news.sina.com.cn/c/2014-07-25/151130579315.shtml" TargetMode="External" /><Relationship Type="http://schemas.openxmlformats.org/officeDocument/2006/relationships/hyperlink" Id="rId88" Target="http://news.sina.com.cn/c/2014-07-29/175930597405.shtml" TargetMode="External" /><Relationship Type="http://schemas.openxmlformats.org/officeDocument/2006/relationships/hyperlink" Id="rId90" Target="http://news.sina.com.cn/pl/2014-07-30/000630598119.shtml" TargetMode="External" /><Relationship Type="http://schemas.openxmlformats.org/officeDocument/2006/relationships/hyperlink" Id="rId54" Target="http://news.xinhuanet.com/2014-07/31/c_126816993.htm" TargetMode="External" /><Relationship Type="http://schemas.openxmlformats.org/officeDocument/2006/relationships/hyperlink" Id="rId93" Target="http://rmfyb.chinacourt.org/paper/html/2014-07/31/content_85715.htm?div=-1" TargetMode="External" /><Relationship Type="http://schemas.openxmlformats.org/officeDocument/2006/relationships/hyperlink" Id="rId28" Target="http://tfs.mof.gov.cn/zhengwuxinxi/caizhengbuling/201407/t20140729_1119494.html" TargetMode="External" /><Relationship Type="http://schemas.openxmlformats.org/officeDocument/2006/relationships/hyperlink" Id="rId31" Target="http://www.cbrc.gov.cn/chinese/home/docView/6B902B93F79F4752BFC4D9B019BB2E58.html" TargetMode="External" /><Relationship Type="http://schemas.openxmlformats.org/officeDocument/2006/relationships/hyperlink" Id="rId21" Target="http://www.charltonslaw.com.cn/china-news-alerts-cn-issue-417/" TargetMode="External" /><Relationship Type="http://schemas.openxmlformats.org/officeDocument/2006/relationships/hyperlink" Id="rId25" Target="http://www.chinaclear.cn/zdjs/editor_file/20140729135134198.pdf" TargetMode="External" /><Relationship Type="http://schemas.openxmlformats.org/officeDocument/2006/relationships/hyperlink" Id="rId79" Target="http://www.gov.cn/zhengce/content/2014-07/30/content_8944.htm" TargetMode="External" /><Relationship Type="http://schemas.openxmlformats.org/officeDocument/2006/relationships/hyperlink" Id="rId34" Target="http://www.neeq.com.cn/detail?id=EA83870D14Z885520&amp;type=16CC2ACB37Z1684EB0" TargetMode="External" /><Relationship Type="http://schemas.openxmlformats.org/officeDocument/2006/relationships/hyperlink" Id="rId62" Target="http://www.sdpc.gov.cn/gzdt/201407/t20140730_620592.html" TargetMode="External" /><Relationship Type="http://schemas.openxmlformats.org/officeDocument/2006/relationships/hyperlink" Id="rId58" Target="http://www.sipo.gov.cn/tz/gz/201407/t20140729_986566.html" TargetMode="External" /><Relationship Type="http://schemas.openxmlformats.org/officeDocument/2006/relationships/hyperlink" Id="rId82" Target="http://www.spcsc.sh.cn/shrdgzw/node5/node47/u1ai57639.html" TargetMode="External" /><Relationship Type="http://schemas.openxmlformats.org/officeDocument/2006/relationships/hyperlink" Id="rId41" Target="http://www.zhb.gov.cn/gkml/hbb/bwj/201407/t20140729_280610.htm" TargetMode="External" /><Relationship Type="http://schemas.openxmlformats.org/officeDocument/2006/relationships/hyperlink" Id="rId44" Target="http://zhengwu.beijing.gov.cn/gzdt/gggs/t1362418.htm" TargetMode="External" /><Relationship Type="http://schemas.openxmlformats.org/officeDocument/2006/relationships/hyperlink" Id="rId9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第417期 - 2014年08月01日</dc:title>
  <dc:creator/>
</cp:coreProperties>
</file>