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第418期</w:t>
      </w:r>
      <w:r>
        <w:t xml:space="preserve"> </w:t>
      </w:r>
      <w:r>
        <w:t xml:space="preserve">-</w:t>
      </w:r>
      <w:r>
        <w:t xml:space="preserve"> </w:t>
      </w:r>
      <w:r>
        <w:t xml:space="preserve">2014年08月08日</w:t>
      </w:r>
    </w:p>
    <w:p>
      <w:hyperlink r:id="rId21">
        <w:r>
          <w:rPr>
            <w:rStyle w:val="Link"/>
          </w:rPr>
          <w:t xml:space="preserve">网络版</w:t>
        </w:r>
      </w:hyperlink>
    </w:p>
    <w:p>
      <w:pPr>
        <w:pStyle w:val="Heading1"/>
      </w:pPr>
      <w:bookmarkStart w:id="22" w:name="法讯中国第418期"/>
      <w:bookmarkEnd w:id="22"/>
      <w:r>
        <w:t xml:space="preserve">法讯中国第418期</w:t>
      </w:r>
    </w:p>
    <w:p>
      <w:pPr>
        <w:pStyle w:val="Heading2"/>
      </w:pPr>
      <w:bookmarkStart w:id="23" w:name="资本市场"/>
      <w:bookmarkEnd w:id="23"/>
      <w:r>
        <w:t xml:space="preserve">资本市场</w:t>
      </w:r>
    </w:p>
    <w:p>
      <w:pPr>
        <w:pStyle w:val="Heading3"/>
      </w:pPr>
      <w:bookmarkStart w:id="24" w:name="国办发布通知进一步加强棚户区改造"/>
      <w:bookmarkEnd w:id="24"/>
      <w:r>
        <w:t xml:space="preserve">国办发布通知进一步加强棚户区改造</w:t>
      </w:r>
    </w:p>
    <w:p>
      <w:r>
        <w:t xml:space="preserve">国务院办公厅日前印发《关于进一步加强棚户区改造工作的通知》（以下简称《通知》）。</w:t>
      </w:r>
    </w:p>
    <w:p>
      <w:r>
        <w:t xml:space="preserve">《通知》从进一步完善棚户区改造规划、优化规划布局、加强质量安全管理、加快配套建设等方面做出具体部署。同时，《通知》要求做好征收补偿工作，建立行政审批快速通道。此外，《通知》还要求进一步发挥开发性金融作用。国家开发银行成立住宅金融事业部，重点支持棚户区改造及城市基础设施等相关工程建设；适当放宽企业债券发行条件，支持国有大中型企业发债用于棚户区改造；社会资金参与投资和运营棚户区改造项目，在市场准入和扶持政策方面同等对待。</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外汇局在部分地区开展外资企业资本金结汇管理方式改革试点"/>
      <w:bookmarkEnd w:id="27"/>
      <w:r>
        <w:t xml:space="preserve">外汇局在部分地区开展外资企业资本金结汇管理方式改革试点</w:t>
      </w:r>
    </w:p>
    <w:p>
      <w:r>
        <w:t xml:space="preserve">国家外汇管理局日前发布《关于在部分地区开展外商投资企业外汇资本金结汇管理方式改革试点有关问题的通知》，自2014年8月4日起实施。</w:t>
      </w:r>
    </w:p>
    <w:p>
      <w:r>
        <w:t xml:space="preserve">《通知》明确，外商投资企业外汇资本金意愿结汇是指外商投资企业资本金账户中经所在地外汇局办理出资权益确认的外汇资本金可根据企业的实际经营需要在银行办理结汇。试点区域内注册成立的外商投资企业外汇资本金意愿结汇比例暂定为100%。国家外汇管理局可根据国际收支形势适时对上述比例进行调整。同时，外商投资企业外汇资本金意愿结汇所得人民币资金纳入结汇待支付账户管理。此外，《通知》还便利了外商投资企业以结汇资金开展境内股权投资，规范了结汇资金的支付管理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行业"/>
      <w:bookmarkEnd w:id="30"/>
      <w:r>
        <w:t xml:space="preserve">行业</w:t>
      </w:r>
    </w:p>
    <w:p>
      <w:pPr>
        <w:pStyle w:val="Heading3"/>
      </w:pPr>
      <w:bookmarkStart w:id="31" w:name="国务院发文加快发展生产性服务业促进产业结构调整升级"/>
      <w:bookmarkEnd w:id="31"/>
      <w:r>
        <w:t xml:space="preserve">国务院发文加快发展生产性服务业促进产业结构调整升级</w:t>
      </w:r>
    </w:p>
    <w:p>
      <w:r>
        <w:t xml:space="preserve">近日，国务院印发《关于加快发展生产性服务业促进产业结构调整升级的指导意见》（以下简称《意见》）。</w:t>
      </w:r>
    </w:p>
    <w:p>
      <w:r>
        <w:t xml:space="preserve">《意见》明确，我国生产性服务业重点发展研发设计、第三方物流、融资租赁、信息技术服务、节能环保服务、检验检测认证、电子商务、商务咨询、服务外包、售后服务、人力资源服务和品牌建设，并提出了相关政策措施。其中，财税政策方面，《意见》指出，研发设计、检验检测认证、节能环保等科技型、创新型生产性服务业企业，可申请认定为高新技术企业，享受15%的企业所得税优惠税率。金融服务方面，《意见》支持符合条件的生产性服务业企业通过银行间债券市场发行非金融企业债券融资工具融资， 拓宽企业融资渠道。</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发改委煤炭经营监管办法9月1日起实施"/>
      <w:bookmarkEnd w:id="34"/>
      <w:r>
        <w:t xml:space="preserve">发改委：煤炭经营监管办法9月1日起实施</w:t>
      </w:r>
    </w:p>
    <w:p>
      <w:r>
        <w:t xml:space="preserve">国家发改委日前发布《煤炭经营监管办法》（以下简称《办法》），自2014年9月1日起施行。</w:t>
      </w:r>
    </w:p>
    <w:p>
      <w:r>
        <w:t xml:space="preserve">《办法》所称煤炭经营，是指企业或个人从事原煤、配煤及洗选、型煤加工产品经销等活动。《办法》鼓励具备条件的经营企业参与煤炭应急储备工作。同时，《办法》指出，煤炭经营企业在工商行政管理机关办理登记注册后，应于三十个工作日内向所在地的同级煤炭经营监督管理部门进行告知性备案。此外，《办法》要求，从事煤炭运输的车站、港口及其他运输企业不得利用其掌握的运力作为参与煤炭经营、谋求不正当利益的手段，禁止行政机关设立煤炭供应的中间环节和额外加收费用。</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浙江绍兴松绑限购政策"/>
      <w:bookmarkEnd w:id="37"/>
      <w:r>
        <w:t xml:space="preserve">浙江绍兴松绑限购政策</w:t>
      </w:r>
    </w:p>
    <w:p>
      <w:r>
        <w:t xml:space="preserve">浙江绍兴市住房和城乡建设局8月4日发布消息称，该部门已于日前下发《关于促进市区房地产市场平稳健康发展的意见》，对当地限购政策进行调整，将停止执行对非绍兴户籍居民的购房限制。绍兴因此也成为7月底以来浙江8个限购城市中第5个正式发文“松绑”限购政策的城市。</w:t>
      </w:r>
    </w:p>
    <w:p>
      <w:r>
        <w:t xml:space="preserve">绍兴此次的调整方案对银行贷款政策做出具体规定，要求首套房贷款首付比例按人民银行及各商业银行有关规定的最低限执行，除首套房外的新购房贷款首付比例，地方法人银行业金融机构按不低于40%的最低限执行、其他商业银行按人民银行或总行规定的最低限执行，同时要严格执行首套房贷款利率不得超过基准利率的规定。在二套房认定方面，将以拟购房家庭实际拥有的住房数量作为认定标准，不考虑购房贷款次数。</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四川对首套房贷给予金额3补贴"/>
      <w:bookmarkEnd w:id="40"/>
      <w:r>
        <w:t xml:space="preserve">四川对首套房贷给予金额3%补贴</w:t>
      </w:r>
    </w:p>
    <w:p>
      <w:r>
        <w:t xml:space="preserve">省级层面鼓励金融机构发放首套房贷款，并直接给予财政补贴。</w:t>
      </w:r>
    </w:p>
    <w:p>
      <w:r>
        <w:t xml:space="preserve">昨日，四川省财政厅决定，从2014年7月1日至2014年12月31日期间，对金融机构按照国家政策规定向居民家庭在四川省内首次购买自住普通商品房提供贷款，且贷款利率不超过（含）人民银行公布的同期贷款基准利率，按金融机构实际发放符合条件贷款金额的3%给予财政补助。</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交通运输部国内水路集装箱班轮运输实施备案管理"/>
      <w:bookmarkEnd w:id="43"/>
      <w:r>
        <w:t xml:space="preserve">交通运输部：国内水路集装箱班轮运输实施备案管理</w:t>
      </w:r>
    </w:p>
    <w:p>
      <w:r>
        <w:t xml:space="preserve">交通运输部日前发布《关于国内水路集装箱班轮运输实施备案管理的通知》（以下简称《通知》），自2014年7月29日起施行。</w:t>
      </w:r>
    </w:p>
    <w:p>
      <w:r>
        <w:t xml:space="preserve">根据《通知》，水路运输经营者应当在班轮航线开航7日前，将使用的船舶以及班期、班次和运价报给为其颁发《国内水路运输经营许可证》的水路运输管理部门备案；变更班期、班次、运价或者停止经营部分或全部班轮航线的，应当在变更或停止经营的7日前，报备案受理机构备案。此外，《通知》还明确，备案内容自备案义务人提交备案之日起7日后生效，但协议运价和特种箱型货类运价自提交满24小时后生效。</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医疗器械注册管理办法等五部规章发布"/>
      <w:bookmarkEnd w:id="46"/>
      <w:r>
        <w:t xml:space="preserve">《医疗器械注册管理办法》等五部规章发布</w:t>
      </w:r>
    </w:p>
    <w:p>
      <w:r>
        <w:t xml:space="preserve">近日，国家食药监局发布了《医疗器械注册管理办法》等五部规章，自2014年10月1日起施行。</w:t>
      </w:r>
    </w:p>
    <w:p>
      <w:r>
        <w:t xml:space="preserve">《医疗器械注册管理办法》等五部规章按照医疗器械产品风险程度的高低，科学设定了审批与备案制度，详细规定了产品注册（备案）以及企业生产、经营许可的条件、程序、时限，明确了企业的主体义务和责任，细化了说明书和标签的要求，强化了监管部门监督检查的手段和措施，严格了法律责任。其中，《医疗器械注册管理办法》明确，第一类医疗器械实行备案管理，第二类、第三类医疗器械实行注册管理。</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r>
        <w:t xml:space="preserve"> </w:t>
      </w:r>
      <w:hyperlink r:id="rId49">
        <w:r>
          <w:rPr>
            <w:rStyle w:val="Link"/>
          </w:rPr>
          <w:t xml:space="preserve">来源</w:t>
        </w:r>
      </w:hyperlink>
      <w:r>
        <w:t xml:space="preserve"> </w:t>
      </w:r>
      <w:r>
        <w:t xml:space="preserve">(</w:t>
      </w:r>
      <w:hyperlink r:id="rId50">
        <w:r>
          <w:rPr>
            <w:rStyle w:val="Link"/>
          </w:rPr>
          <w:t xml:space="preserve">副本</w:t>
        </w:r>
      </w:hyperlink>
      <w:r>
        <w:t xml:space="preserve">),</w:t>
      </w:r>
      <w:r>
        <w:t xml:space="preserve"> </w:t>
      </w:r>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网络交易平台合同格式条款规范指引发布"/>
      <w:bookmarkEnd w:id="53"/>
      <w:r>
        <w:t xml:space="preserve">《网络交易平台合同格式条款规范指引》发布</w:t>
      </w:r>
    </w:p>
    <w:p>
      <w:r>
        <w:t xml:space="preserve">国家工商总局近日发布《网络交易平台合同格式条款规范指引》（以下简称《指引》），自发布之日起实施。</w:t>
      </w:r>
    </w:p>
    <w:p>
      <w:r>
        <w:t xml:space="preserve">《指引》分总则、合同格式条款的基本要求、合同格式条款的履行与救济、附则四章。中华人民共和国境内设立的网络交易平台的经营者通过互联网（含移动互联网），以数据电文为载体，采用格式条款与平台内经营者或者消费者订立合同的，适用本规范指引。</w:t>
      </w:r>
    </w:p>
    <w:p>
      <w:r>
        <w:t xml:space="preserve">《指引》明确，网络交易平台经营者修改合同格式条款的，修改内容应当至少提前七日予以公示并通知合同相对人。此外，网络交易平台经营者不得在合同格式条款中免除或者减轻自己的责任，包括对收集的消费者个人信息和经营者商业秘密的信息安全责任等。</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即时通信工具公众信息服务发展管理暂行规定发布"/>
      <w:bookmarkEnd w:id="56"/>
      <w:r>
        <w:t xml:space="preserve">《即时通信工具公众信息服务发展管理暂行规定》发布</w:t>
      </w:r>
    </w:p>
    <w:p>
      <w:r>
        <w:t xml:space="preserve">8月7日，国家互联网信息办公室发布《即时通信工具公众信息服务发展管理暂行规定》（以下简称《暂行规定》），自公布之日起施行。</w:t>
      </w:r>
    </w:p>
    <w:p>
      <w:r>
        <w:t xml:space="preserve">《暂行规定》明确，即时通信工具服务提供者应当取得相关资质、保护公民个人隐私等。同时，《暂行规定》强调，即时通信工具服务提供者应当按照“后台实名、前台自愿”的原则，要求即时通信工具服务使用者通过真实身份信息认证后注册账号。此外，根据《暂行规定》，即时通信工具服务使用者为从事公众信息服务活动开设公众账号，应当经即时通信工具服务提供者审核，由即时通信工具服务提供者向互联网信息内容主管部门分类备案。</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税务"/>
      <w:bookmarkEnd w:id="59"/>
      <w:r>
        <w:t xml:space="preserve">税务</w:t>
      </w:r>
    </w:p>
    <w:p>
      <w:pPr>
        <w:pStyle w:val="Heading3"/>
      </w:pPr>
      <w:bookmarkStart w:id="60" w:name="中荷避免双重征税和防止偷漏税协定生效执行"/>
      <w:bookmarkEnd w:id="60"/>
      <w:r>
        <w:t xml:space="preserve">中荷避免双重征税和防止偷漏税协定生效执行</w:t>
      </w:r>
    </w:p>
    <w:p>
      <w:r>
        <w:t xml:space="preserve">《中华人民共和国政府和荷兰王国政府对所得避免双重征税和防止偷漏税的协定》（以下简称协定）及议定书已于2013年5月31日在北京正式签署。中荷双方分别于2013年7月30日和2014年7月14日相互通知已完成该协定及议定书生效所必需的各自国内法律程序。根据《协定》第二十九条第一款的规定，该协定及议定书将自2014年8月31日起生效，并适用于2015年1月1日或以后取得的所得。</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月1日起新能源汽车免征车辆购置税"/>
      <w:bookmarkEnd w:id="63"/>
      <w:r>
        <w:t xml:space="preserve">9月1日起新能源汽车免征车辆购置税</w:t>
      </w:r>
    </w:p>
    <w:p>
      <w:r>
        <w:t xml:space="preserve">财政部等三部门近日发布《关于免征新能源汽车车辆购置税的公告》，自2014年9月1日至2017年12月31日，对购置的新能源汽车免征车辆购置税。</w:t>
      </w:r>
    </w:p>
    <w:p>
      <w:r>
        <w:t xml:space="preserve">《公告》明确，对免征车辆购置税的新能源汽车，由工信部、国税总局通过发布《免征车辆购置税的新能源汽车车型目录》实施管理。同时，《公告》对于列入目录的新能源汽车和提出申请的企业的条件进行了规定，包括：插电式混合动力车的综合燃料消耗量要符合标准；要通过新能源汽车专项检测，符合新能源汽车标准要求；对新能源汽车动力电池、电机、电控等关键零部件提供不低于5年或者10万公里的质保等。</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并购"/>
      <w:bookmarkEnd w:id="66"/>
      <w:r>
        <w:t xml:space="preserve">并购</w:t>
      </w:r>
    </w:p>
    <w:p>
      <w:pPr>
        <w:pStyle w:val="Heading3"/>
      </w:pPr>
      <w:bookmarkStart w:id="67" w:name="priceline豪掷5亿美元与携程结成全球战略伙伴"/>
      <w:bookmarkEnd w:id="67"/>
      <w:r>
        <w:t xml:space="preserve">Priceline豪掷5亿美元与携程结成全球战略伙伴</w:t>
      </w:r>
    </w:p>
    <w:p>
      <w:r>
        <w:t xml:space="preserve">8月7日，Priceline集团（NASDAQ代码：PCLN）与携程旅行网宣布，双方将深化现有的商业合作以加强全球战略伙伴关系。Priceline将通过可转债形式向携程投资5亿美元，携程同意Priceline在未来一年内通过公开市场购买其股票。计入可转债包含的股份，Priceline将有望最多持有携程总流通股的10%。在购入可转债的同时，Priceline也获得了向携程董事会委派一名观察员的权利。</w:t>
      </w:r>
    </w:p>
    <w:p>
      <w:r>
        <w:t xml:space="preserve">据介绍，双方现有的商业合作起始于2012年，此次全球伙伴关系是对现有合作的进一步深化。Priceline将自此向携程的客户开放其在大中华区以外的全球超过50万家酒店资源，同样携程在大中华区的超过10万家酒店资源也将对Priceline的客户开放。</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wto"/>
      <w:bookmarkEnd w:id="70"/>
      <w:r>
        <w:t xml:space="preserve">WTO</w:t>
      </w:r>
    </w:p>
    <w:p>
      <w:pPr>
        <w:pStyle w:val="Heading3"/>
      </w:pPr>
      <w:bookmarkStart w:id="71" w:name="wto终裁稀土案中国败诉"/>
      <w:bookmarkEnd w:id="71"/>
      <w:r>
        <w:t xml:space="preserve">WTO终裁稀土案中国败诉</w:t>
      </w:r>
    </w:p>
    <w:p>
      <w:r>
        <w:t xml:space="preserve">日内瓦时间8月7日，世界贸易组织(WTO)公布了美国、欧盟、日本诉中国稀土、钨、钼相关产品出口管理措施案(简称稀土案)上诉机构报告。上诉机构维持此前WTO专家组关于中方涉案产品的出口关税、出口配额措施不符合有关世贸规则和中方加入世贸组织承诺的裁决。</w:t>
      </w:r>
    </w:p>
    <w:p>
      <w:r>
        <w:t xml:space="preserve">WTO今年3月26日公布了稀土案专家组报告，裁定中国稀土出口管理措施违规。但专家组同时确认了资源主权原则，认可中国以可持续发展方式行使自然资源主权的权利，赞同中国实施了资源综合保护政策，并对中国在资源保护方面所做的努力予以肯定。</w:t>
      </w:r>
    </w:p>
    <w:p>
      <w:r>
        <w:t xml:space="preserve">稀土是国防工业生产以及制造包括iPhone、磁盘驱动器和风力涡轮机在内的现代科技产品的重要成分。中国出产全世界稀土总量的90%以上，但从2010年起，中国宣布限制稀土的出口量，并称此举是为了减少污染和保护稀土资源。</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2"/>
      </w:pPr>
      <w:bookmarkStart w:id="74" w:name="知识产权"/>
      <w:bookmarkEnd w:id="74"/>
      <w:r>
        <w:t xml:space="preserve">知识产权</w:t>
      </w:r>
    </w:p>
    <w:p>
      <w:pPr>
        <w:pStyle w:val="Heading3"/>
      </w:pPr>
      <w:bookmarkStart w:id="75" w:name="特斯拉在华商标案和解"/>
      <w:bookmarkEnd w:id="75"/>
      <w:r>
        <w:t xml:space="preserve">特斯拉在华商标案和解</w:t>
      </w:r>
    </w:p>
    <w:p>
      <w:r>
        <w:t xml:space="preserve">8月5日，北京市第三中级人民法院（以下简称“北京三中院”）官方微博发布消息称，特斯拉在华商标著作权案和平落幕，双方当事人握手言和。当事方占宝生放弃使用“TESLA”等有关标志，特斯拉公司放弃向占宝生主张赔偿损失。</w:t>
      </w:r>
    </w:p>
    <w:p>
      <w:r>
        <w:t xml:space="preserve">2006年9月6日，广州商人占宝生在12类汽车等商品上申请注册第5588947号“TESLA”商标，并于2009年6月28日获准注册。</w:t>
      </w:r>
    </w:p>
    <w:p>
      <w:r>
        <w:t xml:space="preserve">特斯拉则成立于2003年。2006年，特斯拉推出世界上第一款完全采用锂离子电池的电动汽车。2010年，特斯拉公司在纳斯达克上市。随后，特斯拉公司开始拓展中国市场，成立拓速乐汽车销售（北京）有限公司。</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2"/>
      </w:pPr>
      <w:bookmarkStart w:id="78" w:name="其他"/>
      <w:bookmarkEnd w:id="78"/>
      <w:r>
        <w:t xml:space="preserve">其他</w:t>
      </w:r>
    </w:p>
    <w:p>
      <w:pPr>
        <w:pStyle w:val="Heading3"/>
      </w:pPr>
      <w:bookmarkStart w:id="79" w:name="光大证券内幕交易案开庭-法院建议庭外调解"/>
      <w:bookmarkEnd w:id="79"/>
      <w:r>
        <w:t xml:space="preserve">光大证券内幕交易案开庭 法院建议庭外调解</w:t>
      </w:r>
    </w:p>
    <w:p>
      <w:r>
        <w:t xml:space="preserve">8月5日上午9时，光大证券内幕交易案一审在上海第二中级人民法院开庭审理。</w:t>
      </w:r>
    </w:p>
    <w:p>
      <w:r>
        <w:t xml:space="preserve">庭审中双方争论焦点集中在四方面：被告是否存在内幕交易；内幕交易行为人是否具有主观过错；投资者的经济损失与行为人的内幕交易是否存在因果关系；投资者损失的认定方法。</w:t>
      </w:r>
    </w:p>
    <w:p>
      <w:r>
        <w:t xml:space="preserve">庭审持续至17时45分，在最后阶段，审判长认为控辩双方都存在责任，建议庭外调解，如调解不成再择日宣判。</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涉垄断被突击调查-奥迪等三大进口车企或面临处罚"/>
      <w:bookmarkEnd w:id="82"/>
      <w:r>
        <w:t xml:space="preserve">涉垄断被突击调查, 奥迪等三大进口车企或面临处罚</w:t>
      </w:r>
    </w:p>
    <w:p>
      <w:r>
        <w:t xml:space="preserve">8月4日上午，国家发改委反垄断调查小组突击调查奔驰位于沪青平公路989号的上海办事处，约谈多名奔驰高管，该办事处内多台电脑被强行检查。约谈和调查持续一天时间，在场每一位奔驰员工均被问话。</w:t>
      </w:r>
    </w:p>
    <w:p>
      <w:r>
        <w:t xml:space="preserve">在8月6日召开的新闻发布会上，国家发改委新闻发言人李朴民证实了“反垄断调查小组对奔驰上海办事处的调查”，具体奔驰是否存在垄断行为有待进一步调查。</w:t>
      </w:r>
    </w:p>
    <w:p>
      <w:r>
        <w:t xml:space="preserve">在几周的时间内，包括捷豹路虎、奥迪在内的豪华车企都宣布下调了车价或配件价格，克莱斯勒也于8月5日宣布下调145种高价值高保修率零配件的价格，下调幅度达到20%。即使如此，除捷豹路虎之外，有关部门对克莱斯勒和奥迪的反垄断已接近尾声，近期将进行处罚。</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5">
        <w:r>
          <w:rPr>
            <w:rStyle w:val="Link"/>
          </w:rPr>
          <w:t xml:space="preserve">unsubscribe@charltonslaw.com</w:t>
        </w:r>
      </w:hyperlink>
    </w:p>
    <w:p>
      <w:r>
        <w:rPr>
          <w:b/>
        </w:rPr>
        <w:t xml:space="preserve">易周律师行 - 法讯 - 中国 - 第418期 - 2014年08月08日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248a8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9" Target="13.pdf" TargetMode="External" /><Relationship Type="http://schemas.openxmlformats.org/officeDocument/2006/relationships/hyperlink" Id="rId73" Target="14.pdf" TargetMode="External" /><Relationship Type="http://schemas.openxmlformats.org/officeDocument/2006/relationships/hyperlink" Id="rId77" Target="15.pdf" TargetMode="External" /><Relationship Type="http://schemas.openxmlformats.org/officeDocument/2006/relationships/hyperlink" Id="rId81" Target="16.pdf" TargetMode="External" /><Relationship Type="http://schemas.openxmlformats.org/officeDocument/2006/relationships/hyperlink" Id="rId84" Target="17.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0" Target="8a.pdf" TargetMode="External" /><Relationship Type="http://schemas.openxmlformats.org/officeDocument/2006/relationships/hyperlink" Id="rId52" Target="8b.pdf" TargetMode="External" /><Relationship Type="http://schemas.openxmlformats.org/officeDocument/2006/relationships/hyperlink" Id="rId55" Target="9.pdf" TargetMode="External" /><Relationship Type="http://schemas.openxmlformats.org/officeDocument/2006/relationships/hyperlink" Id="rId41" Target="http://epaper.stcn.com/paper/zqsb/html/2014-08/02/content_599333.htm" TargetMode="External" /><Relationship Type="http://schemas.openxmlformats.org/officeDocument/2006/relationships/hyperlink" Id="rId38" Target="http://epaper.stcn.com/paper/zqsb/html/2014-08/05/content_599648.htm" TargetMode="External" /><Relationship Type="http://schemas.openxmlformats.org/officeDocument/2006/relationships/hyperlink" Id="rId80" Target="http://epaper.stcn.com/paper/zqsb/html/2014-08/06/content_599876.htm" TargetMode="External" /><Relationship Type="http://schemas.openxmlformats.org/officeDocument/2006/relationships/hyperlink" Id="rId83" Target="http://finance.sina.com.cn/stock/t/20140807/021819934633.shtml" TargetMode="External" /><Relationship Type="http://schemas.openxmlformats.org/officeDocument/2006/relationships/hyperlink" Id="rId57" Target="http://news.xinhuanet.com/2014-08/07/c_1111979566.htm" TargetMode="External" /><Relationship Type="http://schemas.openxmlformats.org/officeDocument/2006/relationships/hyperlink" Id="rId68" Target="http://stock.hexun.com/2014-08-07/167314471.html" TargetMode="External" /><Relationship Type="http://schemas.openxmlformats.org/officeDocument/2006/relationships/hyperlink" Id="rId64" Target="http://szs.mof.gov.cn/zhengwuxinxi/zhengcefabu/201408/t20140806_1123100.html" TargetMode="External" /><Relationship Type="http://schemas.openxmlformats.org/officeDocument/2006/relationships/hyperlink" Id="rId76" Target="http://tech.163.com/14/0806/05/A2UMFGDD000915BF.html" TargetMode="External" /><Relationship Type="http://schemas.openxmlformats.org/officeDocument/2006/relationships/hyperlink" Id="rId21" Target="http://www.charltonslaw.com.cn/china-news-alerts-cn-issue-418/" TargetMode="External" /><Relationship Type="http://schemas.openxmlformats.org/officeDocument/2006/relationships/hyperlink" Id="rId61" Target="http://www.chinatax.gov.cn/n2226/n2271/n2272/c763569/content.html" TargetMode="External" /><Relationship Type="http://schemas.openxmlformats.org/officeDocument/2006/relationships/hyperlink" Id="rId25" Target="http://www.gov.cn/zhengce/content/2014-08/04/content_8951.htm" TargetMode="External" /><Relationship Type="http://schemas.openxmlformats.org/officeDocument/2006/relationships/hyperlink" Id="rId32" Target="http://www.gov.cn/zhengce/content/2014-08/06/content_8955.htm" TargetMode="External" /><Relationship Type="http://schemas.openxmlformats.org/officeDocument/2006/relationships/hyperlink" Id="rId72" Target="http://www.guancha.cn/economy/2014_08_08_254513.shtml" TargetMode="External" /><Relationship Type="http://schemas.openxmlformats.org/officeDocument/2006/relationships/hyperlink" Id="rId44" Target="http://www.moc.gov.cn/zfxxgk/bnssj/syj/201408/t20140804_1660561.html" TargetMode="External" /><Relationship Type="http://schemas.openxmlformats.org/officeDocument/2006/relationships/hyperlink" Id="rId28" Target="http://www.safe.gov.cn/resources/wcmpages//wps/wcm/connect/safe_web_store/safe_web/zcfg/zbxmwhgl/zjtzwhgl/node_zcfg_zbxm_kjtz_store/b863040044f9ac668af2ae04091e83bf/" TargetMode="External" /><Relationship Type="http://schemas.openxmlformats.org/officeDocument/2006/relationships/hyperlink" Id="rId54" Target="http://www.saic.gov.cn/zwgk/zyfb/zjwj/scgfgls/201408/t20140801_147255.html" TargetMode="External" /><Relationship Type="http://schemas.openxmlformats.org/officeDocument/2006/relationships/hyperlink" Id="rId51" Target="http://www.sda.gov.cn/WS01/CL0053/103760.html" TargetMode="External" /><Relationship Type="http://schemas.openxmlformats.org/officeDocument/2006/relationships/hyperlink" Id="rId49" Target="http://www.sda.gov.cn/WS01/CL0845/103801.html" TargetMode="External" /><Relationship Type="http://schemas.openxmlformats.org/officeDocument/2006/relationships/hyperlink" Id="rId47" Target="http://www.sda.gov.cn/WS01/CL0845/103802.html" TargetMode="External" /><Relationship Type="http://schemas.openxmlformats.org/officeDocument/2006/relationships/hyperlink" Id="rId35" Target="http://www.sdpc.gov.cn/zcfb/zcfbl/201408/t20140806_621405.html" TargetMode="External" /><Relationship Type="http://schemas.openxmlformats.org/officeDocument/2006/relationships/hyperlink" Id="rId8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9" Target="13.pdf" TargetMode="External" /><Relationship Type="http://schemas.openxmlformats.org/officeDocument/2006/relationships/hyperlink" Id="rId73" Target="14.pdf" TargetMode="External" /><Relationship Type="http://schemas.openxmlformats.org/officeDocument/2006/relationships/hyperlink" Id="rId77" Target="15.pdf" TargetMode="External" /><Relationship Type="http://schemas.openxmlformats.org/officeDocument/2006/relationships/hyperlink" Id="rId81" Target="16.pdf" TargetMode="External" /><Relationship Type="http://schemas.openxmlformats.org/officeDocument/2006/relationships/hyperlink" Id="rId84" Target="17.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0" Target="8a.pdf" TargetMode="External" /><Relationship Type="http://schemas.openxmlformats.org/officeDocument/2006/relationships/hyperlink" Id="rId52" Target="8b.pdf" TargetMode="External" /><Relationship Type="http://schemas.openxmlformats.org/officeDocument/2006/relationships/hyperlink" Id="rId55" Target="9.pdf" TargetMode="External" /><Relationship Type="http://schemas.openxmlformats.org/officeDocument/2006/relationships/hyperlink" Id="rId41" Target="http://epaper.stcn.com/paper/zqsb/html/2014-08/02/content_599333.htm" TargetMode="External" /><Relationship Type="http://schemas.openxmlformats.org/officeDocument/2006/relationships/hyperlink" Id="rId38" Target="http://epaper.stcn.com/paper/zqsb/html/2014-08/05/content_599648.htm" TargetMode="External" /><Relationship Type="http://schemas.openxmlformats.org/officeDocument/2006/relationships/hyperlink" Id="rId80" Target="http://epaper.stcn.com/paper/zqsb/html/2014-08/06/content_599876.htm" TargetMode="External" /><Relationship Type="http://schemas.openxmlformats.org/officeDocument/2006/relationships/hyperlink" Id="rId83" Target="http://finance.sina.com.cn/stock/t/20140807/021819934633.shtml" TargetMode="External" /><Relationship Type="http://schemas.openxmlformats.org/officeDocument/2006/relationships/hyperlink" Id="rId57" Target="http://news.xinhuanet.com/2014-08/07/c_1111979566.htm" TargetMode="External" /><Relationship Type="http://schemas.openxmlformats.org/officeDocument/2006/relationships/hyperlink" Id="rId68" Target="http://stock.hexun.com/2014-08-07/167314471.html" TargetMode="External" /><Relationship Type="http://schemas.openxmlformats.org/officeDocument/2006/relationships/hyperlink" Id="rId64" Target="http://szs.mof.gov.cn/zhengwuxinxi/zhengcefabu/201408/t20140806_1123100.html" TargetMode="External" /><Relationship Type="http://schemas.openxmlformats.org/officeDocument/2006/relationships/hyperlink" Id="rId76" Target="http://tech.163.com/14/0806/05/A2UMFGDD000915BF.html" TargetMode="External" /><Relationship Type="http://schemas.openxmlformats.org/officeDocument/2006/relationships/hyperlink" Id="rId21" Target="http://www.charltonslaw.com.cn/china-news-alerts-cn-issue-418/" TargetMode="External" /><Relationship Type="http://schemas.openxmlformats.org/officeDocument/2006/relationships/hyperlink" Id="rId61" Target="http://www.chinatax.gov.cn/n2226/n2271/n2272/c763569/content.html" TargetMode="External" /><Relationship Type="http://schemas.openxmlformats.org/officeDocument/2006/relationships/hyperlink" Id="rId25" Target="http://www.gov.cn/zhengce/content/2014-08/04/content_8951.htm" TargetMode="External" /><Relationship Type="http://schemas.openxmlformats.org/officeDocument/2006/relationships/hyperlink" Id="rId32" Target="http://www.gov.cn/zhengce/content/2014-08/06/content_8955.htm" TargetMode="External" /><Relationship Type="http://schemas.openxmlformats.org/officeDocument/2006/relationships/hyperlink" Id="rId72" Target="http://www.guancha.cn/economy/2014_08_08_254513.shtml" TargetMode="External" /><Relationship Type="http://schemas.openxmlformats.org/officeDocument/2006/relationships/hyperlink" Id="rId44" Target="http://www.moc.gov.cn/zfxxgk/bnssj/syj/201408/t20140804_1660561.html" TargetMode="External" /><Relationship Type="http://schemas.openxmlformats.org/officeDocument/2006/relationships/hyperlink" Id="rId28" Target="http://www.safe.gov.cn/resources/wcmpages//wps/wcm/connect/safe_web_store/safe_web/zcfg/zbxmwhgl/zjtzwhgl/node_zcfg_zbxm_kjtz_store/b863040044f9ac668af2ae04091e83bf/" TargetMode="External" /><Relationship Type="http://schemas.openxmlformats.org/officeDocument/2006/relationships/hyperlink" Id="rId54" Target="http://www.saic.gov.cn/zwgk/zyfb/zjwj/scgfgls/201408/t20140801_147255.html" TargetMode="External" /><Relationship Type="http://schemas.openxmlformats.org/officeDocument/2006/relationships/hyperlink" Id="rId51" Target="http://www.sda.gov.cn/WS01/CL0053/103760.html" TargetMode="External" /><Relationship Type="http://schemas.openxmlformats.org/officeDocument/2006/relationships/hyperlink" Id="rId49" Target="http://www.sda.gov.cn/WS01/CL0845/103801.html" TargetMode="External" /><Relationship Type="http://schemas.openxmlformats.org/officeDocument/2006/relationships/hyperlink" Id="rId47" Target="http://www.sda.gov.cn/WS01/CL0845/103802.html" TargetMode="External" /><Relationship Type="http://schemas.openxmlformats.org/officeDocument/2006/relationships/hyperlink" Id="rId35" Target="http://www.sdpc.gov.cn/zcfb/zcfbl/201408/t20140806_621405.html" TargetMode="External" /><Relationship Type="http://schemas.openxmlformats.org/officeDocument/2006/relationships/hyperlink" Id="rId8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第418期 - 2014年08月08日</dc:title>
  <dc:creator/>
</cp:coreProperties>
</file>