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第419期</w:t>
      </w:r>
      <w:r>
        <w:t xml:space="preserve"> </w:t>
      </w:r>
      <w:r>
        <w:t xml:space="preserve">-</w:t>
      </w:r>
      <w:r>
        <w:t xml:space="preserve"> </w:t>
      </w:r>
      <w:r>
        <w:t xml:space="preserve">2014年08月15日</w:t>
      </w:r>
    </w:p>
    <w:p>
      <w:hyperlink r:id="rId21">
        <w:r>
          <w:rPr>
            <w:rStyle w:val="Link"/>
          </w:rPr>
          <w:t xml:space="preserve">网络版</w:t>
        </w:r>
      </w:hyperlink>
    </w:p>
    <w:p>
      <w:pPr>
        <w:pStyle w:val="Heading1"/>
      </w:pPr>
      <w:bookmarkStart w:id="22" w:name="法讯中国第419期"/>
      <w:bookmarkEnd w:id="22"/>
      <w:r>
        <w:t xml:space="preserve">法讯中国第419期</w:t>
      </w:r>
    </w:p>
    <w:p>
      <w:pPr>
        <w:pStyle w:val="Heading2"/>
      </w:pPr>
      <w:bookmarkStart w:id="23" w:name="资本市场"/>
      <w:bookmarkEnd w:id="23"/>
      <w:r>
        <w:t xml:space="preserve">资本市场</w:t>
      </w:r>
    </w:p>
    <w:p>
      <w:pPr>
        <w:pStyle w:val="Heading3"/>
      </w:pPr>
      <w:bookmarkStart w:id="24" w:name="深交所修订资产管理计划份额转让业务指引"/>
      <w:bookmarkEnd w:id="24"/>
      <w:r>
        <w:t xml:space="preserve">深交所修订《资产管理计划份额转让业务指引》</w:t>
      </w:r>
    </w:p>
    <w:p>
      <w:r>
        <w:t xml:space="preserve">8月11日，深圳证券交易所发布修订后的《资产管理计划份额转让业务指引》（以下简称《业务指引》），并自发布之日起施行。</w:t>
      </w:r>
    </w:p>
    <w:p>
      <w:r>
        <w:t xml:space="preserve">根据修订后的《业务指引》，出现下列情况之一的，深交所可以终止提供转让服务：管理人向深交所申请终止转让服务；资管计划存续期届满且未展期；依据法律法规、中国证监会相关规定或者合同约定提前终止；严重违反法律法规、中国证监会或者深交所相关规定；深交所认定的其他情形。</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发布可交换公司债券业务实施细则"/>
      <w:bookmarkEnd w:id="27"/>
      <w:r>
        <w:t xml:space="preserve">深交所发布可交换公司债券业务实施细则</w:t>
      </w:r>
    </w:p>
    <w:p>
      <w:r>
        <w:t xml:space="preserve">8月11日，深圳证券交易所发布《可交换公司债券业务实施细则》（以下简称《细则》），并自公布之日起施行。</w:t>
      </w:r>
    </w:p>
    <w:p>
      <w:r>
        <w:t xml:space="preserve">《细则》包括可交换债券上市交易、信息披露及换股、赎回等内容。根据《细则》，用于交换的股票在可交换债发行时应当为无限售条件股份，自发行结束之日起12个月后方可开始换股。同时，发行人应当在可交换债券开始换股的3个交易日前披露实施换股相关事项，包括换股起止日期、当前换股价格、换股程序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国务院发文要求加快发展现代保险服务业"/>
      <w:bookmarkEnd w:id="31"/>
      <w:r>
        <w:t xml:space="preserve">国务院发文要求加快发展现代保险服务业</w:t>
      </w:r>
    </w:p>
    <w:p>
      <w:r>
        <w:t xml:space="preserve">8月10日，国务院发布《关于加快发展现代保险服务业的若干意见》（以下简称《意见》）。</w:t>
      </w:r>
    </w:p>
    <w:p>
      <w:r>
        <w:t xml:space="preserve">《意见》就加快发展现代保险服务业提出了9方面29条政策措施。其中，《意见》要求，各地要完善现代保险服务业发展的支持政策，即要建立保险监管协调机制，鼓励政府通过多种方式购买保险服务，研究完善促进现代保险服务业加快发展的税收政策，适时开展个人税收递延型商业养老保险试点，加强对养老产业和健康服务业的用地保障，完善对农业保险的财政补贴政策。</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务"/>
      <w:bookmarkEnd w:id="34"/>
      <w:r>
        <w:t xml:space="preserve">税务</w:t>
      </w:r>
    </w:p>
    <w:p>
      <w:pPr>
        <w:pStyle w:val="Heading3"/>
      </w:pPr>
      <w:bookmarkStart w:id="35" w:name="启运港退税政策试点范围扩大-自2014年9月1日起执行"/>
      <w:bookmarkEnd w:id="35"/>
      <w:r>
        <w:t xml:space="preserve">启运港退税政策试点范围扩大 自2014年9月1日起执行</w:t>
      </w:r>
    </w:p>
    <w:p>
      <w:r>
        <w:t xml:space="preserve">日前，财政部等三部门联合发布《关于扩大启运港退税政策试点范围的通知》（以下简称《通知》），自2014年9月1日起执行。</w:t>
      </w:r>
    </w:p>
    <w:p>
      <w:r>
        <w:t xml:space="preserve">《通知》明确，对从启运地启运报关出口，并由符合条件的运输企业承运，从水路转关直航运输经上海洋山保税港区离境的集装箱货物，实行启运港退税政策。其中，适用启运港退税政策的启运地口岸为南京市龙潭港、苏州市太仓港、连云港市连云港港、芜湖市朱家桥港、九江市城西港、青岛市前湾港、武汉市阳逻港、岳阳市城陵矶港，出口口岸为洋山保税港区，运输方式为水路运输。此外，《通知》还详述了运输企业和运输工具、出口企业等享受退税政策应满足的条件以及主要流程。</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行业"/>
      <w:bookmarkEnd w:id="38"/>
      <w:r>
        <w:t xml:space="preserve">行业</w:t>
      </w:r>
    </w:p>
    <w:p>
      <w:pPr>
        <w:pStyle w:val="Heading3"/>
      </w:pPr>
      <w:bookmarkStart w:id="39" w:name="五部门发文明确不动产统一登记城乡统一"/>
      <w:bookmarkEnd w:id="39"/>
      <w:r>
        <w:t xml:space="preserve">五部门发文明确不动产统一登记“城乡统一”</w:t>
      </w:r>
    </w:p>
    <w:p>
      <w:r>
        <w:t xml:space="preserve">日前，国土资源部、财政部、住房和城乡建设部、农业部、国家林业局联合发布《关于进一步加快推进宅基地和集体建设用地使用权确权登记发证工作的通知》（以下简称《通知》），明确将宅基地和集体建设用地使用权确权登记发证纳入不动产统一登记制度的实施进程。</w:t>
      </w:r>
    </w:p>
    <w:p>
      <w:r>
        <w:t xml:space="preserve">《通知》要求，各地要将农房等集体建设用地上的建筑物、构筑物纳入宅基地和集体建设用地使用权确权登记发证的工作范围，建立健全不动产统一登记制度，实现统一调查、统一确权登记、统一发证。</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务院出台意见支持铁路建设实施土地综合开发"/>
      <w:bookmarkEnd w:id="42"/>
      <w:r>
        <w:t xml:space="preserve">国务院出台意见支持铁路建设实施土地综合开发</w:t>
      </w:r>
    </w:p>
    <w:p>
      <w:r>
        <w:t xml:space="preserve">日前，国务院办公厅出台了《国务院办公厅关于支持铁路建设实施土地综合开发的意见》（以下简称《意见》）。</w:t>
      </w:r>
    </w:p>
    <w:p>
      <w:r>
        <w:t xml:space="preserve">根据《意见》，铁路建设实施土地综合开发须坚持以下基本原则：支持铁路建设与新型城镇化相结合；政府引导与市场自主开发相结合；盘活存量铁路用地与综合开发新老站场用地相结合。</w:t>
      </w:r>
    </w:p>
    <w:p>
      <w:r>
        <w:t xml:space="preserve">《意见》强调，各地应采用市场化方式供应综合开发用地。新建铁路站场地区综合开发用地采用市场化方式供应，供地公告时间不得少于60个工作日。</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并购"/>
      <w:bookmarkEnd w:id="45"/>
      <w:r>
        <w:t xml:space="preserve">并购</w:t>
      </w:r>
    </w:p>
    <w:p>
      <w:pPr>
        <w:pStyle w:val="Heading3"/>
      </w:pPr>
      <w:bookmarkStart w:id="46" w:name="华邦颖泰14亿收购百盛药业"/>
      <w:bookmarkEnd w:id="46"/>
      <w:r>
        <w:t xml:space="preserve">华邦颖泰14亿收购百盛药业</w:t>
      </w:r>
    </w:p>
    <w:p>
      <w:r>
        <w:t xml:space="preserve">华邦颖泰8月13日公告，拟向肖建东、董晓明、张曦赜、闫志刚和姚晓勇等5名自然人发行股份购买其所持有西藏林芝百盛药业有限公司71.50%股权，同时拟向10名其他特定投资者发行股份募集配套资金。交易完成后，百盛药业将成为华邦颖泰全资子公司。</w:t>
      </w:r>
    </w:p>
    <w:p>
      <w:r>
        <w:t xml:space="preserve">经双方协商，百盛药业71.50%股权的交易价格预计为14.49亿元。此次发行股份购买资产的发行价格18.94元/股，公司向肖建东等5名股东发行股份7650.2万股。与此同时，公司拟向10名其他特定投资者发行股份募集配套资金，配套资金总额不超过3.62亿元，将用于支付此次交易中介机构费用与补充流动资金。</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赤峰黄金逾9亿整体收购雄风稀贵"/>
      <w:bookmarkEnd w:id="49"/>
      <w:r>
        <w:t xml:space="preserve">赤峰黄金逾9亿整体收购雄风稀贵</w:t>
      </w:r>
    </w:p>
    <w:p>
      <w:r>
        <w:t xml:space="preserve">赤峰黄金8月11日宣布，以“增发新股+现金”并购雄风稀贵100%股权，雄风稀贵此前曾计划IPO。</w:t>
      </w:r>
    </w:p>
    <w:p>
      <w:r>
        <w:t xml:space="preserve">根据公告，赤峰黄金拟通过发行股份及支付现金的方式购买郴州雄风稀贵金属材料股份有限公司100%股权，标的资产预估值为9.06亿元。赤峰黄金拟以7.15元/股价格发行股份支付其中90%对价，剩余10%用现金支付。同时，赤峰黄金还计划募集配套资金总额不超过3.03亿元，增发底价为6.44元/股。</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东方通收购北京同德一心"/>
      <w:bookmarkEnd w:id="52"/>
      <w:r>
        <w:t xml:space="preserve">东方通收购北京同德一心</w:t>
      </w:r>
    </w:p>
    <w:p>
      <w:r>
        <w:t xml:space="preserve">东方通8月11日发布公告，收购北京同德一心科技公司100%股权。</w:t>
      </w:r>
    </w:p>
    <w:p>
      <w:r>
        <w:t xml:space="preserve">公告显示，此次收购将有利于东方通拓宽基础软件产品线，增强在虚拟化、云计算领域的技术创新实力。东方通相关负责人在接受证券时报记者采访时表示，此举标志着公司正式启动上市之后的业务战略转型，从中间件专业厂商向全线基础软件产品及云计算、大数据整体解决方案提供商过渡。</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其他"/>
      <w:bookmarkEnd w:id="55"/>
      <w:r>
        <w:t xml:space="preserve">其他</w:t>
      </w:r>
    </w:p>
    <w:p>
      <w:pPr>
        <w:pStyle w:val="Heading3"/>
      </w:pPr>
      <w:bookmarkStart w:id="56" w:name="国务院再次取消和调整一批行政审批项目等事项"/>
      <w:bookmarkEnd w:id="56"/>
      <w:r>
        <w:t xml:space="preserve">国务院再次取消和调整一批行政审批项目等事项</w:t>
      </w:r>
    </w:p>
    <w:p>
      <w:r>
        <w:t xml:space="preserve">日前，国务院发布《关于取消和调整一批行政审批项目等事项的决定》，再次取消和下放45项行政审批项目，取消11项职业资格许可和认定事项，同时将31项工商登记前置审批事项改为后置审批。</w:t>
      </w:r>
    </w:p>
    <w:p>
      <w:r>
        <w:t xml:space="preserve">根据决定，本次取消和下放的行政审批事项包括“享受小型微利企业所得税优惠的核准”、“跨省、自治区、直辖市销售的矿泉水的注册登记”等。此外，本次由工商登记前置审批改为后置审批的事项主要集中在生产经营服务领域，包括“自费出国留学中介服务机构资格认定”、“设立内资娱乐场所审批”、“设立内资演出经纪机构审批”等。</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汽车反垄断开出首张罚单4家宝马4s店被罚163万"/>
      <w:bookmarkEnd w:id="59"/>
      <w:r>
        <w:t xml:space="preserve">汽车反垄断开出首张罚单：4家宝马4S店被罚163万</w:t>
      </w:r>
    </w:p>
    <w:p>
      <w:r>
        <w:t xml:space="preserve">8月13日，湖北省物价局召开规范汽车销售中的价格行为提醒告诫会，通报了武汉4家宝马4S店协商统一收取PDI检测费(俗称新车检测费)构成价格垄断协议的违法行为，并依据《反垄断法》对4家宝马经销商给予行政处罚，罚款总金额达162.67万元。这是今年汽车行业反垄断调查以来，对汽车经销企业开出的第一张罚单。</w:t>
      </w:r>
    </w:p>
    <w:p>
      <w:r>
        <w:t xml:space="preserve">在告诫会上湖北物价局表示，本次处罚的4家宝马经销4S店为武汉市鄂宝、中达江宝、汉德宝和宝泽。处罚的原因是PDI检测作为售前检测，本应是汽车生产企业和经销企业在向消费者销售完全合格的汽车产品之前，应该履行的义务和责任。但这4家宝马4S店却协商统一收取PDI检测费，构成价格垄断协议的违法行为，分别处以93.79万元、34.16万元、19.72万元和15万元的罚款。</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受雇葛兰素史克两外国侦探被判有罪"/>
      <w:bookmarkEnd w:id="62"/>
      <w:r>
        <w:t xml:space="preserve">受雇葛兰素史克两外国侦探被判有罪</w:t>
      </w:r>
    </w:p>
    <w:p>
      <w:r>
        <w:t xml:space="preserve">近日，上海市第一中级人民法院公开审理在华外国人非法获取公民信息案，曾受雇于葛兰素史克的私家侦探汉弗莱被判处有期徒刑两年六个月，并处罚金20万元及驱逐出境；虞英曾被判处有期徒刑两年，并处罚金15万元。</w:t>
      </w:r>
    </w:p>
    <w:p>
      <w:r>
        <w:t xml:space="preserve">2013年4月，葛兰素史克中国公司业务总经理马克锐、法务部总监赵虹燕等高管找到汉弗莱，声称所谓的举报者向中国工商部门和葛兰素史克各部门写了匿名信，举报存在商业贿赂行为，让其调查是谁写了匿名信，并预付10万元订金。随后，汉弗莱以“蝎子计划”为代号展开了为期近两月的非法调查。</w:t>
      </w:r>
    </w:p>
    <w:p>
      <w:r>
        <w:t xml:space="preserve">而对于指控其大量购买公民信息的行为，汉弗莱解释称，他们是请三家公司帮助自己调查的，并付服务费给他们，公民的户籍信息都是这三家公司获取的，且并否认从事公民信息买卖业务。</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5">
        <w:r>
          <w:rPr>
            <w:rStyle w:val="Link"/>
          </w:rPr>
          <w:t xml:space="preserve">unsubscribe@charltonslaw.com</w:t>
        </w:r>
      </w:hyperlink>
    </w:p>
    <w:p>
      <w:r>
        <w:rPr>
          <w:b/>
        </w:rPr>
        <w:t xml:space="preserve">易周律师行 - 法讯 - 中国 - 第419期 - 2014年08月15日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94a62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53" Target="http://epaper.stcn.com/paper/zqsb/html/2014-08/11/content_601001.htm" TargetMode="External" /><Relationship Type="http://schemas.openxmlformats.org/officeDocument/2006/relationships/hyperlink" Id="rId50" Target="http://epaper.stcn.com/paper/zqsb/html/2014-08/11/content_601035.htm" TargetMode="External" /><Relationship Type="http://schemas.openxmlformats.org/officeDocument/2006/relationships/hyperlink" Id="rId47" Target="http://epaper.stcn.com/paper/zqsb/html/2014-08/13/content_601576.htm" TargetMode="External" /><Relationship Type="http://schemas.openxmlformats.org/officeDocument/2006/relationships/hyperlink" Id="rId60" Target="http://finance.sina.com.cn/chanjing/gsnews/20140814/013920003736.shtml" TargetMode="External" /><Relationship Type="http://schemas.openxmlformats.org/officeDocument/2006/relationships/hyperlink" Id="rId36" Target="http://szs.mof.gov.cn/zhengwuxinxi/zhengcefabu/201408/t20140813_1126473.html" TargetMode="External" /><Relationship Type="http://schemas.openxmlformats.org/officeDocument/2006/relationships/hyperlink" Id="rId21" Target="http://www.charltonslaw.com.cn/china-news-alerts-cn-issue-419/" TargetMode="External" /><Relationship Type="http://schemas.openxmlformats.org/officeDocument/2006/relationships/hyperlink" Id="rId63" Target="http://www.chinadaily.com.cn/hqgj/jryw/2014-08-11/content_12171634.html" TargetMode="External" /><Relationship Type="http://schemas.openxmlformats.org/officeDocument/2006/relationships/hyperlink" Id="rId43" Target="http://www.gov.cn/zhengce/content/2014-08/11/content_8971.htm" TargetMode="External" /><Relationship Type="http://schemas.openxmlformats.org/officeDocument/2006/relationships/hyperlink" Id="rId57" Target="http://www.gov.cn/zhengce/content/2014-08/12/content_8974.htm" TargetMode="External" /><Relationship Type="http://schemas.openxmlformats.org/officeDocument/2006/relationships/hyperlink" Id="rId32" Target="http://www.gov.cn/zhengce/content/2014-08/13/content_8977.htm" TargetMode="External" /><Relationship Type="http://schemas.openxmlformats.org/officeDocument/2006/relationships/hyperlink" Id="rId40" Target="http://www.mlr.gov.cn/zwgk/zytz/201408/t20140811_1326440.htm" TargetMode="External" /><Relationship Type="http://schemas.openxmlformats.org/officeDocument/2006/relationships/hyperlink" Id="rId25" Target="http://www.szse.cn/main/aboutus/xywjs/fezr/ywgzyzn/39752623.shtml" TargetMode="External" /><Relationship Type="http://schemas.openxmlformats.org/officeDocument/2006/relationships/hyperlink" Id="rId28" Target="http://www.szse.cn/main/disclosure/bsgg_front/39752619.shtml" TargetMode="External" /><Relationship Type="http://schemas.openxmlformats.org/officeDocument/2006/relationships/hyperlink" Id="rId6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53" Target="http://epaper.stcn.com/paper/zqsb/html/2014-08/11/content_601001.htm" TargetMode="External" /><Relationship Type="http://schemas.openxmlformats.org/officeDocument/2006/relationships/hyperlink" Id="rId50" Target="http://epaper.stcn.com/paper/zqsb/html/2014-08/11/content_601035.htm" TargetMode="External" /><Relationship Type="http://schemas.openxmlformats.org/officeDocument/2006/relationships/hyperlink" Id="rId47" Target="http://epaper.stcn.com/paper/zqsb/html/2014-08/13/content_601576.htm" TargetMode="External" /><Relationship Type="http://schemas.openxmlformats.org/officeDocument/2006/relationships/hyperlink" Id="rId60" Target="http://finance.sina.com.cn/chanjing/gsnews/20140814/013920003736.shtml" TargetMode="External" /><Relationship Type="http://schemas.openxmlformats.org/officeDocument/2006/relationships/hyperlink" Id="rId36" Target="http://szs.mof.gov.cn/zhengwuxinxi/zhengcefabu/201408/t20140813_1126473.html" TargetMode="External" /><Relationship Type="http://schemas.openxmlformats.org/officeDocument/2006/relationships/hyperlink" Id="rId21" Target="http://www.charltonslaw.com.cn/china-news-alerts-cn-issue-419/" TargetMode="External" /><Relationship Type="http://schemas.openxmlformats.org/officeDocument/2006/relationships/hyperlink" Id="rId63" Target="http://www.chinadaily.com.cn/hqgj/jryw/2014-08-11/content_12171634.html" TargetMode="External" /><Relationship Type="http://schemas.openxmlformats.org/officeDocument/2006/relationships/hyperlink" Id="rId43" Target="http://www.gov.cn/zhengce/content/2014-08/11/content_8971.htm" TargetMode="External" /><Relationship Type="http://schemas.openxmlformats.org/officeDocument/2006/relationships/hyperlink" Id="rId57" Target="http://www.gov.cn/zhengce/content/2014-08/12/content_8974.htm" TargetMode="External" /><Relationship Type="http://schemas.openxmlformats.org/officeDocument/2006/relationships/hyperlink" Id="rId32" Target="http://www.gov.cn/zhengce/content/2014-08/13/content_8977.htm" TargetMode="External" /><Relationship Type="http://schemas.openxmlformats.org/officeDocument/2006/relationships/hyperlink" Id="rId40" Target="http://www.mlr.gov.cn/zwgk/zytz/201408/t20140811_1326440.htm" TargetMode="External" /><Relationship Type="http://schemas.openxmlformats.org/officeDocument/2006/relationships/hyperlink" Id="rId25" Target="http://www.szse.cn/main/aboutus/xywjs/fezr/ywgzyzn/39752623.shtml" TargetMode="External" /><Relationship Type="http://schemas.openxmlformats.org/officeDocument/2006/relationships/hyperlink" Id="rId28" Target="http://www.szse.cn/main/disclosure/bsgg_front/39752619.shtml" TargetMode="External" /><Relationship Type="http://schemas.openxmlformats.org/officeDocument/2006/relationships/hyperlink" Id="rId6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第419期 - 2014年08月15日</dc:title>
  <dc:creator/>
</cp:coreProperties>
</file>