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第420期</w:t>
      </w:r>
      <w:r>
        <w:t xml:space="preserve"> </w:t>
      </w:r>
      <w:r>
        <w:t xml:space="preserve">-</w:t>
      </w:r>
      <w:r>
        <w:t xml:space="preserve"> </w:t>
      </w:r>
      <w:r>
        <w:t xml:space="preserve">2014年08月22日</w:t>
      </w:r>
    </w:p>
    <w:p>
      <w:hyperlink r:id="rId21">
        <w:r>
          <w:rPr>
            <w:rStyle w:val="Link"/>
          </w:rPr>
          <w:t xml:space="preserve">网络版</w:t>
        </w:r>
      </w:hyperlink>
    </w:p>
    <w:p>
      <w:pPr>
        <w:pStyle w:val="Heading1"/>
      </w:pPr>
      <w:bookmarkStart w:id="22" w:name="法讯中国第420期"/>
      <w:bookmarkEnd w:id="22"/>
      <w:r>
        <w:t xml:space="preserve">法讯中国第420期</w:t>
      </w:r>
    </w:p>
    <w:p>
      <w:pPr>
        <w:pStyle w:val="Heading2"/>
      </w:pPr>
      <w:bookmarkStart w:id="23" w:name="资本市场"/>
      <w:bookmarkEnd w:id="23"/>
      <w:r>
        <w:t xml:space="preserve">资本市场</w:t>
      </w:r>
    </w:p>
    <w:p>
      <w:pPr>
        <w:pStyle w:val="Heading3"/>
      </w:pPr>
      <w:bookmarkStart w:id="24" w:name="中国证券监督管理委员会信访工作规则公布"/>
      <w:bookmarkEnd w:id="24"/>
      <w:r>
        <w:t xml:space="preserve">《中国证券监督管理委员会信访工作规则》公布</w:t>
      </w:r>
    </w:p>
    <w:p>
      <w:r>
        <w:t xml:space="preserve">8月14日，证监会公布《中国证券监督管理委员会信访工作规则》（以下简称《工作规则》），并自公布之日起施行。</w:t>
      </w:r>
    </w:p>
    <w:p>
      <w:r>
        <w:t xml:space="preserve">《工作规则》分六章46条，主要就信访工作机构及其职责范围、信访事项的提出及受理等内容作出了规定。《工作规则》明确，证券期货信访是指公民、法人或者其他组织采用书信、传真、电话、走访、互联网等形式，向证监会及其派出机构反映情况，提出建议、意见或者投诉请求，依法由证监会及其派出机构处理的活动。同时，《工作规则》对信访人所提事项进行了分类，并对不同信访事项的回复时间也作了规定。</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证券业协会规范证券公司柜台市场和机构间私募产品报价系统管理工作"/>
      <w:bookmarkEnd w:id="27"/>
      <w:r>
        <w:t xml:space="preserve">证券业协会规范证券公司柜台市场和机构间私募产品报价系统管理工作</w:t>
      </w:r>
    </w:p>
    <w:p>
      <w:r>
        <w:t xml:space="preserve">8月15日，中国证券业协会发布《证券公司柜台市场管理办法（试行）》和《机构间私募产品报价与服务系统管理办法（试行）》，进一步促进证券公司柜台市场和机构间私募产品报价与服务系统（以下简称“报价系统”） 规范开展业务。</w:t>
      </w:r>
    </w:p>
    <w:p>
      <w:r>
        <w:t xml:space="preserve">《证券公司柜台市场管理办法（试行）》从私募产品发行销售转让、登记托管结算、自律管理等方面对证券公司柜台市场业务做了进一步规范。《机构间私募产品报价与服务系统管理办法（试行）》则明确，今后，除金融监管部门明确规定必须事前审批、备案的私募产品外，证券公司在报价系统报价、发行、转让的私募产品直接实行事后备案，无须向中国证券业协会申请创新业务（产品）专业评价。</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三部委联合发文支持小微文化企业发展"/>
      <w:bookmarkEnd w:id="30"/>
      <w:r>
        <w:t xml:space="preserve">三部委联合发文支持小微文化企业发展</w:t>
      </w:r>
    </w:p>
    <w:p>
      <w:r>
        <w:t xml:space="preserve">日前，文化部、工业和信息化部、财政部联合印发《关于大力支持小微文化企业发展的实施意见》（以下简称《意见》）。</w:t>
      </w:r>
    </w:p>
    <w:p>
      <w:r>
        <w:t xml:space="preserve">《意见》从增强创新发展能力、打造良好发展环境、健全金融服务体系、完善财税支持政策、提高公共服务水平等方面提出了支持小微文化企业发展的政策措施。其中，《意见》明确要求，各地相关部门要大力推广小微文化企业集合债券、集合信托、短期融资券和行业集优债券等，同时要支持小额贷款公司等机构为小微文化企业融资提供相关服务。</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全国银行间同业拆借中心发文规范交易员执业行为"/>
      <w:bookmarkEnd w:id="33"/>
      <w:r>
        <w:t xml:space="preserve">全国银行间同业拆借中心发文规范交易员执业行为</w:t>
      </w:r>
    </w:p>
    <w:p>
      <w:r>
        <w:t xml:space="preserve">8月20日，全国银行间同业拆借中心发布《银行间本币市场交易员管理办法（试行）》（以下简称《管理办法》）及《银行间本币市场交易员职业操守指引（试行）》（以下《职业操守指引》），并自发布之日起施行。</w:t>
      </w:r>
    </w:p>
    <w:p>
      <w:r>
        <w:t xml:space="preserve">《管理办法》从资格认证、年检、监督管理及罚则等方面对交易员管理进行了规范。《管理方法》规定，交易员资格实行年检制度。年检由交易中心统一组织实施，每两年开展一次。</w:t>
      </w:r>
    </w:p>
    <w:p>
      <w:r>
        <w:t xml:space="preserve">《职业操守指引》明确了在交易过程中交易员应具备的专业能力与职业素养、应遵守的交易规范及对其所服务的机构和客户的责任等事项。根据规定，交易员不得通过交易以及其他非法或不适当的途径向个人或第三方进行利益输送，亦不得通过具有欺诈性或误导性的行为操纵或不当影响市场价格。</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2"/>
      </w:pPr>
      <w:bookmarkStart w:id="36" w:name="行业"/>
      <w:bookmarkEnd w:id="36"/>
      <w:r>
        <w:t xml:space="preserve">行业</w:t>
      </w:r>
    </w:p>
    <w:p>
      <w:pPr>
        <w:pStyle w:val="Heading3"/>
      </w:pPr>
      <w:bookmarkStart w:id="37" w:name="食品药品监管总局发布药品委托生产监督管理规定"/>
      <w:bookmarkEnd w:id="37"/>
      <w:r>
        <w:t xml:space="preserve">食品药品监管总局发布《药品委托生产监督管理规定》</w:t>
      </w:r>
    </w:p>
    <w:p>
      <w:r>
        <w:t xml:space="preserve">8月14日，国家食品药品监督管理总局发布《药品委托生产监督管理规定》（以下简称《管理规定》），并自2014年10月1日起实施。</w:t>
      </w:r>
    </w:p>
    <w:p>
      <w:r>
        <w:t xml:space="preserve">《管理规定》适用于境内药品生产企业之间委托生产药品的申请、审查、许可和监督管理。《管理规定》明确，委托方和受托方均应是持有与委托生产药品相适应的《药品生产质量管理规范》认证证书的药品生产企业。同时，委托方应当取得委托生产药品的批准文号，并应对委托生产药品的质量负责。</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3"/>
      </w:pPr>
      <w:bookmarkStart w:id="40" w:name="住建部印发建筑施工安全生产标准化考评暂行办法"/>
      <w:bookmarkEnd w:id="40"/>
      <w:r>
        <w:t xml:space="preserve">住建部印发《建筑施工安全生产标准化考评暂行办法》</w:t>
      </w:r>
    </w:p>
    <w:p>
      <w:r>
        <w:t xml:space="preserve">日前，住建部印发《建筑施工安全生产标准化考评暂行办法》（以下简称《办法》），自发布之日起施行。</w:t>
      </w:r>
    </w:p>
    <w:p>
      <w:r>
        <w:t xml:space="preserve">《办法》对“建筑施工项目及建筑施工企业安全生产标准化考评、奖励和惩戒”作出了规定。根据《办法》，建筑施工企业近三年所承建的项目发生较大及以上生产安全责任事故或者企业近三年所承建已竣工项目不合格率超过5%的，安全生产标准化评定为不合格。住房城乡建设主管部门应当责令限期整改，在企业办理安全生产许可证延期时，复核其安全生产条件，对整改后具备安全生产条件的，安全生产标准化考评结果为“整改后合格”，核发安全生产许可证；对不再具备安全生产条件的，不予核发安全生产许可证。</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3"/>
      </w:pPr>
      <w:bookmarkStart w:id="43" w:name="公路水路交通运输主要技术政策修订印发"/>
      <w:bookmarkEnd w:id="43"/>
      <w:r>
        <w:t xml:space="preserve">《公路水路交通运输主要技术政策》修订印发</w:t>
      </w:r>
    </w:p>
    <w:p>
      <w:r>
        <w:t xml:space="preserve">近日，交通运输部修订并印发了《公路水路交通运输主要技术政策》（以下简称《技术政策》）。</w:t>
      </w:r>
    </w:p>
    <w:p>
      <w:r>
        <w:t xml:space="preserve">《技术政策》分公路工程、水运工程、运输服务、城市交通、安全应急、节能环保和信息化7个领域，共计70条主要政策，侧重反映近年来各领域取得的应用面广、效益显著的新成果。其中，节能环保方面，将推动天然气、电动汽车、油电混合动力汽车等清洁能源、节能与新能源车辆在道路运输中的应用，并逐步推广应用双源无轨电车、油电混合动力公交车、纯电动公交车、液化天然气（LNG）车等新型替代燃料公交车辆。</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3"/>
      </w:pPr>
      <w:bookmarkStart w:id="46" w:name="安监总局出台五条规定严防企业粉尘爆炸"/>
      <w:bookmarkEnd w:id="46"/>
      <w:r>
        <w:t xml:space="preserve">安监总局出台五条规定严防企业粉尘爆炸</w:t>
      </w:r>
    </w:p>
    <w:p>
      <w:r>
        <w:t xml:space="preserve">8月15日，《严防企业粉尘爆炸五条规定》以国家安全监管总局令形式发布。</w:t>
      </w:r>
    </w:p>
    <w:p>
      <w:r>
        <w:t xml:space="preserve">《五条规定》要求：必须确保作业场所符合标准规范要求，严禁设置在违规多层房、安全间距不达标厂房和居民区内；必须按标准规范设计、安装、使用和维护通风除尘系统，每班按规定检测和规范清理粉尘，在除尘系统停运期间和粉尘超标时严禁作业，并停产撤人；必须按规范使用防爆电气设备，落实防雷、防静电等措施，保证设备设施接地，严禁作业场所存在各类明火和违规使用作业工具；必须配备铝镁等金属粉尘生产、收集、贮存的防水防潮设施，严禁粉尘遇湿自燃；必须严格执行安全操作规程和劳动防护制度，严禁员工培训不合格和不按规定佩戴使用防尘、防静电等劳保用品上岗。</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3"/>
      </w:pPr>
      <w:bookmarkStart w:id="49" w:name="三部门联合发文遏制煤矿超能力生产"/>
      <w:bookmarkEnd w:id="49"/>
      <w:r>
        <w:t xml:space="preserve">三部门联合发文遏制煤矿超能力生产</w:t>
      </w:r>
    </w:p>
    <w:p>
      <w:r>
        <w:t xml:space="preserve">近日，国家发改委等三部门联合发布《关于遏制煤矿超能力生产规范企业生产行为的通知》（以下简称《通知》）。</w:t>
      </w:r>
    </w:p>
    <w:p>
      <w:r>
        <w:t xml:space="preserve">《通知》要求，所有煤矿要按照登记公布的生产能力和承诺事项组织生产，合理安排年度、季度、月度生产计划。煤矿年度原煤产量不得超过登记公布的生产能力，月度原煤产量不得超过月均计划的110%；无月度计划的，月产量不得超过登记公布生产能力的1/12。对违规超能力生产的煤矿责令停产整顿、暂扣安全生产许可证和矿长安全资格证，并对煤矿处50万元以上200万元以下的罚款，对煤矿企业负责人处3万元以上15万元以下罚款。此外，《通知》明确，所有未经核准但已建成并组织生产的煤矿，一律停产；所有未取得采矿许可证和安全生产许可证的煤矿，不得投入生产。</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3"/>
      </w:pPr>
      <w:bookmarkStart w:id="52" w:name="国务院出台意见促进旅游业改革发展"/>
      <w:bookmarkEnd w:id="52"/>
      <w:r>
        <w:t xml:space="preserve">国务院出台意见促进旅游业改革发展</w:t>
      </w:r>
    </w:p>
    <w:p>
      <w:r>
        <w:t xml:space="preserve">日前，国务院出台《关于促进旅游业改革发展的若干意见》（以下简称《意见》），从增强旅游发展动力、拓展旅游发展空间、优化旅游发展环境、完善旅游发展政策等方面提出了促进旅游业改革发展的具体措施。</w:t>
      </w:r>
    </w:p>
    <w:p>
      <w:r>
        <w:t xml:space="preserve">《意见》指出，各地要破除对旅行社跨省设分社、设门市的政策限制，鼓励品牌信誉度高的旅行社和旅游车船公司跨地区连锁经营。同时，《意见》强调，各地要严格规范景区门票价格。利用风景名胜区、自然保护区、文物保护单位等公共资源建设的景区门票以及景区内另行收费的游览场所、交通工具等项目价格要实行政府定价或者政府指导价，严格控制价格上涨。</w:t>
      </w:r>
    </w:p>
    <w:p>
      <w:hyperlink r:id="rId53">
        <w:r>
          <w:rPr>
            <w:rStyle w:val="Link"/>
          </w:rPr>
          <w:t xml:space="preserve">来源</w:t>
        </w:r>
      </w:hyperlink>
      <w:r>
        <w:t xml:space="preserve"> </w:t>
      </w:r>
      <w:r>
        <w:t xml:space="preserve">(</w:t>
      </w:r>
      <w:hyperlink r:id="rId54">
        <w:r>
          <w:rPr>
            <w:rStyle w:val="Link"/>
          </w:rPr>
          <w:t xml:space="preserve">副本</w:t>
        </w:r>
      </w:hyperlink>
      <w:r>
        <w:t xml:space="preserve">)</w:t>
      </w:r>
    </w:p>
    <w:p>
      <w:pPr>
        <w:pStyle w:val="Heading2"/>
      </w:pPr>
      <w:bookmarkStart w:id="55" w:name="并购"/>
      <w:bookmarkEnd w:id="55"/>
      <w:r>
        <w:t xml:space="preserve">并购</w:t>
      </w:r>
    </w:p>
    <w:p>
      <w:pPr>
        <w:pStyle w:val="Heading3"/>
      </w:pPr>
      <w:bookmarkStart w:id="56" w:name="新国都收购范特西"/>
      <w:bookmarkEnd w:id="56"/>
      <w:r>
        <w:t xml:space="preserve">新国都收购范特西</w:t>
      </w:r>
    </w:p>
    <w:p>
      <w:r>
        <w:t xml:space="preserve">新国都8月20日公布重大资产重组交易报告书，拟通过向特定对象非公开发行股份和支付现金相结合的方式购买范特西合计100%股权，此次交易共需支付6.9亿元。其中，现金支付2.3亿元，剩余4.6亿元以发行股份方式支付。</w:t>
      </w:r>
    </w:p>
    <w:p>
      <w:r>
        <w:t xml:space="preserve">同时，本次重组交易方案评估机构采用收益法对范特西100%股权进行预估，评值为5.5亿元，较账面净资产增值16.6倍。据披露，由于新游戏上线收益存在较大不确定性，评估师从谨慎性原则考虑，主要参考标的公司已上线同类游戏收益数据进行预测。另外，本次评估仅将目前正在研发的NBA篮球网页及移动端游戏纳入评估范围，而未将后续可能开发的其他类新游戏产品收益在收入预测中考虑。</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2"/>
      </w:pPr>
      <w:bookmarkStart w:id="59" w:name="其他"/>
      <w:bookmarkEnd w:id="59"/>
      <w:r>
        <w:t xml:space="preserve">其他</w:t>
      </w:r>
    </w:p>
    <w:p>
      <w:pPr>
        <w:pStyle w:val="Heading3"/>
      </w:pPr>
      <w:bookmarkStart w:id="60" w:name="家日企因价格垄断被罚12亿元"/>
      <w:bookmarkEnd w:id="60"/>
      <w:r>
        <w:t xml:space="preserve">12家日企因价格垄断被罚12亿元</w:t>
      </w:r>
    </w:p>
    <w:p>
      <w:r>
        <w:t xml:space="preserve">在完成对日本12家企业实施汽车零部件和轴承价格垄断案的调查工作之后，国家发改委8月20日发布消息称，对日本住友等8家零部件企业价格垄断行为依法处罚8.3196亿元，对日本精工等4家轴承企业价格垄断行为依法处罚4.0344亿元，合计罚款12.354亿元。</w:t>
      </w:r>
    </w:p>
    <w:p>
      <w:r>
        <w:t xml:space="preserve">经国家发改委查证，2000年1月至2010年2月，日立、电装、爱三、三菱电机、三叶、矢崎、古河、住友等8家日本汽车零部件生产企业为减少竞争，以最有利的价格得到汽车制造商的零部件订单，在日本频繁进行双边或多边会谈，互相协商价格，多次达成订单报价协议并予实施。2000年至2011年6月，不二越、精工、捷太格特、NTN等4家轴承生产企业在日本组织召开亚洲研究会，在上海组织召开出口市场会议，讨论亚洲地区及中国市场的轴承涨价方针、涨价时机和幅度，交流涨价实施情况。</w:t>
      </w:r>
    </w:p>
    <w:p>
      <w:r>
        <w:t xml:space="preserve">国家发改委称，8家汽车零部件企业和4家轴承企业涉嫌达成并实施了汽车零部件、轴承的价格垄断协议，违反了我国《反垄断法》规定，排除、限制了市场竞争，不正当地影响了我国汽车零部件及整车、轴承的价格，损害了下游制造商的合法权益和我国消费者利益。</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3"/>
      </w:pPr>
      <w:bookmarkStart w:id="63" w:name="国务院出台政策支持东北振兴"/>
      <w:bookmarkEnd w:id="63"/>
      <w:r>
        <w:t xml:space="preserve">国务院出台政策支持东北振兴</w:t>
      </w:r>
    </w:p>
    <w:p>
      <w:r>
        <w:t xml:space="preserve">日前，国务院发布《关于近期支持东北振兴若干重大政策举措的意见》（以下简称《意见》）。</w:t>
      </w:r>
    </w:p>
    <w:p>
      <w:r>
        <w:t xml:space="preserve">《意见》就支持东北振兴提出了11方面35条政策措施。其中，就深化国有企业改革方面，《意见》明确了三项具体措施：一要深化地方国有企业改革，地方政府要分类推进国有企业改革，拿出本级国有企业部分股权转让收益和国有资本经营收益，专项用于支付必需的改革成本；二要大力推进中央国有企业改革，支持中央企业与地方共建产业园区；三要妥善解决国有企业改革历史遗留问题，全面推进中央企业分离移交“三供一业”（供水、供电、供热、物业管理）工作。</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3"/>
      </w:pPr>
      <w:bookmarkStart w:id="66" w:name="国务院修改部分行政法规"/>
      <w:bookmarkEnd w:id="66"/>
      <w:r>
        <w:t xml:space="preserve">国务院修改部分行政法规</w:t>
      </w:r>
    </w:p>
    <w:p>
      <w:r>
        <w:t xml:space="preserve">近日，国务院发布《关于修改部分行政法规的决定》，对《国务院关于通用航空管理的暂行规定》、《高等教育自学考试暂行条例》、《中华人民共和国土地管理法实施条例》等21部行政法规的部分条款进行了修改。</w:t>
      </w:r>
    </w:p>
    <w:p>
      <w:r>
        <w:t xml:space="preserve">其中，《证券公司监督管理条例》第十三条第一款被修改为：“ 证券公司增加注册资本且股权结构发生重大调整，减少注册资本，变更业务范围或者公司章程中的重要条款，合并、分立，设立、收购或者撤销境内分支机构，在境外设立、收购、参股证券经营机构，应当经国务院证券监督管理机构批准。”</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3"/>
      </w:pPr>
      <w:bookmarkStart w:id="69" w:name="青岛港骗贷案余波仓储商索赔5840万美元"/>
      <w:bookmarkEnd w:id="69"/>
      <w:r>
        <w:t xml:space="preserve">青岛港骗贷案余波：仓储商索赔5840万美元</w:t>
      </w:r>
    </w:p>
    <w:p>
      <w:r>
        <w:t xml:space="preserve">6月初的青岛港骗贷案至今仍然余波不断。嘉能可旗下仓储运营商Pacorini起诉青岛港，索赔5840万美元。据青岛港8月15日在港交所公布的文件显示，Pacorini已向青岛港大港分公司和青岛鸿途物流有限公司分别提起诉讼。对此，青岛港声明称：“考虑到大港分公司与Pacorini并没有合同关系，后者的起诉是不合理的。”青岛港补充称，将“强烈反对”该则指控。</w:t>
      </w:r>
    </w:p>
    <w:p>
      <w:r>
        <w:t xml:space="preserve">在第一起诉讼中，Pacorini指控大港分公司和鸿途物流拒绝交割8085吨铝锭，导致其受到损失。这些铝锭按照市面价格价值1.201亿人民币，被告应该以实物或现金的形式赔偿其损失。</w:t>
      </w:r>
    </w:p>
    <w:p>
      <w:r>
        <w:t xml:space="preserve">在第二起诉讼中，Pacorini指控打工分公司和宏图物流拒绝交割112731吨矾土（氧化铝矿石），并要求被告赔偿3889万美元损失。</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2">
        <w:r>
          <w:rPr>
            <w:rStyle w:val="Link"/>
          </w:rPr>
          <w:t xml:space="preserve">unsubscribe@charltonslaw.com</w:t>
        </w:r>
      </w:hyperlink>
    </w:p>
    <w:p>
      <w:r>
        <w:rPr>
          <w:b/>
        </w:rPr>
        <w:t xml:space="preserve">易周律师行 - 法讯 - 中国 - 第420期 - 2014年08月22日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91fa783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4" Target="10.pdf" TargetMode="External" /><Relationship Type="http://schemas.openxmlformats.org/officeDocument/2006/relationships/hyperlink" Id="rId58"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1"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1" Target="9.pdf" TargetMode="External" /><Relationship Type="http://schemas.openxmlformats.org/officeDocument/2006/relationships/hyperlink" Id="rId57" Target="http://epaper.stcn.com/paper/zqsb/html/2014-08/20/content_603904.htm" TargetMode="External" /><Relationship Type="http://schemas.openxmlformats.org/officeDocument/2006/relationships/hyperlink" Id="rId61" Target="http://epaper.stcn.com/paper/zqsb/html/epaper/index/content_604189.htm" TargetMode="External" /><Relationship Type="http://schemas.openxmlformats.org/officeDocument/2006/relationships/hyperlink" Id="rId70" Target="http://money.163.com/14/0817/10/A3RFN7O7002524SO.html" TargetMode="External" /><Relationship Type="http://schemas.openxmlformats.org/officeDocument/2006/relationships/hyperlink" Id="rId21" Target="http://www.charltonslaw.com.cn/china-news-alerts-cn-issue-420/" TargetMode="External" /><Relationship Type="http://schemas.openxmlformats.org/officeDocument/2006/relationships/hyperlink" Id="rId34" Target="http://www.chinamoney.com.cn/fe/Info/8722327" TargetMode="External" /><Relationship Type="http://schemas.openxmlformats.org/officeDocument/2006/relationships/hyperlink" Id="rId47" Target="http://www.chinasafety.gov.cn/newpage/Contents/Channel_5330/2014/0815/239154/content_239154.htm" TargetMode="External" /><Relationship Type="http://schemas.openxmlformats.org/officeDocument/2006/relationships/hyperlink" Id="rId31" Target="http://www.cnci.gov.cn/content/2014819/news_84070.shtml" TargetMode="External" /><Relationship Type="http://schemas.openxmlformats.org/officeDocument/2006/relationships/hyperlink" Id="rId25" Target="http://www.csrc.gov.cn/pub/zjhpublic/zjh/201408/t20140815_259207.htm" TargetMode="External" /><Relationship Type="http://schemas.openxmlformats.org/officeDocument/2006/relationships/hyperlink" Id="rId67" Target="http://www.gov.cn/zhengce/content/2014-08/15/content_8988.htm" TargetMode="External" /><Relationship Type="http://schemas.openxmlformats.org/officeDocument/2006/relationships/hyperlink" Id="rId64" Target="http://www.gov.cn/zhengce/content/2014-08/19/content_8996.htm" TargetMode="External" /><Relationship Type="http://schemas.openxmlformats.org/officeDocument/2006/relationships/hyperlink" Id="rId53" Target="http://www.gov.cn/zhengce/content/2014-08/21/content_8999.htm" TargetMode="External" /><Relationship Type="http://schemas.openxmlformats.org/officeDocument/2006/relationships/hyperlink" Id="rId44" Target="http://www.moc.gov.cn/zfxxgk/bnssj/kjs/201408/t20140819_1673403.html" TargetMode="External" /><Relationship Type="http://schemas.openxmlformats.org/officeDocument/2006/relationships/hyperlink" Id="rId41" Target="http://www.mohurd.gov.cn/zcfg/jsbwj_0/jsbwjgczl/201408/t20140819_218740.html" TargetMode="External" /><Relationship Type="http://schemas.openxmlformats.org/officeDocument/2006/relationships/hyperlink" Id="rId28" Target="http://www.sac.net.cn/tzgg/201408/t20140815_101584.html" TargetMode="External" /><Relationship Type="http://schemas.openxmlformats.org/officeDocument/2006/relationships/hyperlink" Id="rId38" Target="http://www.sda.gov.cn/WS01/CL0087/104895.html" TargetMode="External" /><Relationship Type="http://schemas.openxmlformats.org/officeDocument/2006/relationships/hyperlink" Id="rId50" Target="http://www.sdpc.gov.cn/gzdt/201408/t20140821_622832.html" TargetMode="External" /><Relationship Type="http://schemas.openxmlformats.org/officeDocument/2006/relationships/hyperlink" Id="rId72"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4" Target="10.pdf" TargetMode="External" /><Relationship Type="http://schemas.openxmlformats.org/officeDocument/2006/relationships/hyperlink" Id="rId58"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1"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1" Target="9.pdf" TargetMode="External" /><Relationship Type="http://schemas.openxmlformats.org/officeDocument/2006/relationships/hyperlink" Id="rId57" Target="http://epaper.stcn.com/paper/zqsb/html/2014-08/20/content_603904.htm" TargetMode="External" /><Relationship Type="http://schemas.openxmlformats.org/officeDocument/2006/relationships/hyperlink" Id="rId61" Target="http://epaper.stcn.com/paper/zqsb/html/epaper/index/content_604189.htm" TargetMode="External" /><Relationship Type="http://schemas.openxmlformats.org/officeDocument/2006/relationships/hyperlink" Id="rId70" Target="http://money.163.com/14/0817/10/A3RFN7O7002524SO.html" TargetMode="External" /><Relationship Type="http://schemas.openxmlformats.org/officeDocument/2006/relationships/hyperlink" Id="rId21" Target="http://www.charltonslaw.com.cn/china-news-alerts-cn-issue-420/" TargetMode="External" /><Relationship Type="http://schemas.openxmlformats.org/officeDocument/2006/relationships/hyperlink" Id="rId34" Target="http://www.chinamoney.com.cn/fe/Info/8722327" TargetMode="External" /><Relationship Type="http://schemas.openxmlformats.org/officeDocument/2006/relationships/hyperlink" Id="rId47" Target="http://www.chinasafety.gov.cn/newpage/Contents/Channel_5330/2014/0815/239154/content_239154.htm" TargetMode="External" /><Relationship Type="http://schemas.openxmlformats.org/officeDocument/2006/relationships/hyperlink" Id="rId31" Target="http://www.cnci.gov.cn/content/2014819/news_84070.shtml" TargetMode="External" /><Relationship Type="http://schemas.openxmlformats.org/officeDocument/2006/relationships/hyperlink" Id="rId25" Target="http://www.csrc.gov.cn/pub/zjhpublic/zjh/201408/t20140815_259207.htm" TargetMode="External" /><Relationship Type="http://schemas.openxmlformats.org/officeDocument/2006/relationships/hyperlink" Id="rId67" Target="http://www.gov.cn/zhengce/content/2014-08/15/content_8988.htm" TargetMode="External" /><Relationship Type="http://schemas.openxmlformats.org/officeDocument/2006/relationships/hyperlink" Id="rId64" Target="http://www.gov.cn/zhengce/content/2014-08/19/content_8996.htm" TargetMode="External" /><Relationship Type="http://schemas.openxmlformats.org/officeDocument/2006/relationships/hyperlink" Id="rId53" Target="http://www.gov.cn/zhengce/content/2014-08/21/content_8999.htm" TargetMode="External" /><Relationship Type="http://schemas.openxmlformats.org/officeDocument/2006/relationships/hyperlink" Id="rId44" Target="http://www.moc.gov.cn/zfxxgk/bnssj/kjs/201408/t20140819_1673403.html" TargetMode="External" /><Relationship Type="http://schemas.openxmlformats.org/officeDocument/2006/relationships/hyperlink" Id="rId41" Target="http://www.mohurd.gov.cn/zcfg/jsbwj_0/jsbwjgczl/201408/t20140819_218740.html" TargetMode="External" /><Relationship Type="http://schemas.openxmlformats.org/officeDocument/2006/relationships/hyperlink" Id="rId28" Target="http://www.sac.net.cn/tzgg/201408/t20140815_101584.html" TargetMode="External" /><Relationship Type="http://schemas.openxmlformats.org/officeDocument/2006/relationships/hyperlink" Id="rId38" Target="http://www.sda.gov.cn/WS01/CL0087/104895.html" TargetMode="External" /><Relationship Type="http://schemas.openxmlformats.org/officeDocument/2006/relationships/hyperlink" Id="rId50" Target="http://www.sdpc.gov.cn/gzdt/201408/t20140821_622832.html" TargetMode="External" /><Relationship Type="http://schemas.openxmlformats.org/officeDocument/2006/relationships/hyperlink" Id="rId72"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第420期 - 2014年08月22日</dc:title>
  <dc:creator/>
</cp:coreProperties>
</file>