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第422期</w:t>
      </w:r>
      <w:r>
        <w:t xml:space="preserve"> </w:t>
      </w:r>
      <w:r>
        <w:t xml:space="preserve">-</w:t>
      </w:r>
      <w:r>
        <w:t xml:space="preserve"> </w:t>
      </w:r>
      <w:r>
        <w:t xml:space="preserve">2014年09月05日</w:t>
      </w:r>
    </w:p>
    <w:p>
      <w:hyperlink r:id="rId21">
        <w:r>
          <w:rPr>
            <w:rStyle w:val="Link"/>
          </w:rPr>
          <w:t xml:space="preserve">网络版</w:t>
        </w:r>
      </w:hyperlink>
    </w:p>
    <w:p>
      <w:pPr>
        <w:pStyle w:val="Heading1"/>
      </w:pPr>
      <w:bookmarkStart w:id="22" w:name="法讯中国第422期"/>
      <w:bookmarkEnd w:id="22"/>
      <w:r>
        <w:t xml:space="preserve">法讯中国第422期</w:t>
      </w:r>
    </w:p>
    <w:p>
      <w:pPr>
        <w:pStyle w:val="Heading2"/>
      </w:pPr>
      <w:bookmarkStart w:id="23" w:name="资本市场"/>
      <w:bookmarkEnd w:id="23"/>
      <w:r>
        <w:t xml:space="preserve">资本市场</w:t>
      </w:r>
    </w:p>
    <w:p>
      <w:pPr>
        <w:pStyle w:val="Heading3"/>
      </w:pPr>
      <w:bookmarkStart w:id="24" w:name="预算法首次大修2015年1月1日起施行"/>
      <w:bookmarkEnd w:id="24"/>
      <w:r>
        <w:t xml:space="preserve">预算法首次大修2015年1月1日起施行</w:t>
      </w:r>
    </w:p>
    <w:p>
      <w:r>
        <w:t xml:space="preserve">全国人大常委会日前发布《关于修改〈中华人民共和国预算法〉的决定》（下称《决定》），自2015年1月1日起施行。</w:t>
      </w:r>
    </w:p>
    <w:p>
      <w:r>
        <w:t xml:space="preserve">《决定》对《中华人民共和国预算法》进行了修改，增加一条，作为第五条，明确预算包括一般公共预算、政府性基金预算、国有资本经营预算、社会保险基金预算。同时，还增加一条作为第十四条，明确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此外，《决定》在赋予地方政府有限发债权，以及完善预算审查、监督、强化预算责任等方面都有明显进步。</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沪港通四方协议签署-交易证券范围明确"/>
      <w:bookmarkEnd w:id="27"/>
      <w:r>
        <w:t xml:space="preserve">沪港通四方协议签署 交易证券范围明确</w:t>
      </w:r>
    </w:p>
    <w:p>
      <w:r>
        <w:t xml:space="preserve">9月4日，沪港通《四方协议》在上交所签署。《四方协议》由上交所、联交所、中国结算和香港结算四方共同签署，就沪港通中的沪港交易通、沪港结算通分别作出安排。</w:t>
      </w:r>
    </w:p>
    <w:p>
      <w:r>
        <w:t xml:space="preserve">其中有关沪港交易通的主要约定如下：</w:t>
      </w:r>
    </w:p>
    <w:p>
      <w:r>
        <w:t xml:space="preserve">一是建立订单路由安排。联交所参与者可以通过联交所证券交易服务公司向上交所提交买卖订单；上交所会员可以通过上交所证券交易服务公司向联交所提交买卖订单。</w:t>
      </w:r>
    </w:p>
    <w:p>
      <w:r>
        <w:t xml:space="preserve">二是确定可通过沪港交易通进行交易的证券范围。上交所将接纳上证180指数的成分股、上证380指数的成分股以及同时在上交所和联交所上市的沪股为沪股通股票。以人民币以外货币报价的沪股暂不纳入，所有被实施风险警示的沪股也暂不纳入。</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就期货公司监管办法征求意见"/>
      <w:bookmarkEnd w:id="30"/>
      <w:r>
        <w:t xml:space="preserve">证监会就期货公司监管办法征求意见</w:t>
      </w:r>
    </w:p>
    <w:p>
      <w:r>
        <w:t xml:space="preserve">8月29日，证监会发布了《期货公司监督管理办法（征求意见稿)》（以下简称《办法》），并公开征求意见。</w:t>
      </w:r>
    </w:p>
    <w:p>
      <w:r>
        <w:t xml:space="preserve">从内容上来看，《办法》具体包括九个方面的内容：一是落实简政放权，减少行政审批，调整行政许可项目取消和下放相关内容；二是降低准入门槛，扩大期货公司股东范围，优化股东条件；三是完善期货公司业务范围，并为创新业务和牌照管理预留空间；四是适应期货公司业务多元化需要，调整完善业务规则；五是扩大对外开放，明确期货公司引进境外股东和设立境外机构的规则，并为境外客户参与境内期货交易预留空间；六是完善监管制度，着力维护投资者合法权益；七是鼓励期货公司组织形式创新，满足多元化发展需要；八是强化期货公司信息披露义务，健全信息报送及公示制度；九是强化对期货公司的监管要求与法律责任，加大对违法违规行为的惩处力度。</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收"/>
      <w:bookmarkEnd w:id="33"/>
      <w:r>
        <w:t xml:space="preserve">税收</w:t>
      </w:r>
    </w:p>
    <w:p>
      <w:pPr>
        <w:pStyle w:val="Heading3"/>
      </w:pPr>
      <w:bookmarkStart w:id="34" w:name="国税总局发布纳税信用评价指标和评价方式"/>
      <w:bookmarkEnd w:id="34"/>
      <w:r>
        <w:t xml:space="preserve">国税总局发布纳税信用评价指标和评价方式</w:t>
      </w:r>
    </w:p>
    <w:p>
      <w:r>
        <w:t xml:space="preserve">近日，国税总局发布《纳税信用评价指标和评价方式（试行）》（简称《评价指标》），自2014年10月1日起施行。</w:t>
      </w:r>
    </w:p>
    <w:p>
      <w:r>
        <w:t xml:space="preserve">《评价指标》分为纳税人信用历史信息、税务内部信息、外部信息三部分，外部信息由外部参考信息和外部评价信息组成。其中，税务内部信息和外部评价信息将直接影响评价结果，而纳税人信用历史信息和外部参考信息目前仅记录，暂不扣分。根据《评价指标》，纳税人存在税种优惠资格申报材料虚假、虚开增值税专用发票或非善意接收虚开增值税专用发票、在规定期限内未补交或足额补缴税款、滞纳金和罚款等行为的将被直接判为D级。</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多款新能源汽车免征车辆购置税"/>
      <w:bookmarkEnd w:id="37"/>
      <w:r>
        <w:t xml:space="preserve">多款新能源汽车免征车辆购置税</w:t>
      </w:r>
    </w:p>
    <w:p>
      <w:r>
        <w:t xml:space="preserve">根据国务院常务会议决定，自9月1日起至2017年底，对获得许可在中国境内销售（包括进口）的纯电动以及符合条件的插电式（含增程式）混合动力、燃料电池三类新能源汽车免征车辆购置税。</w:t>
      </w:r>
    </w:p>
    <w:p>
      <w:r>
        <w:t xml:space="preserve">据工信部和国税总局公布第一批免征车辆购置税的新能源汽车车型目录，纯电动汽车领域有比亚迪e6、江淮和悦iEV等17款乘用车、75款客车、5款专用车入围；插电式混合动力汽车领域有6款乘用车和10款客车入围。</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国务院发布关于促进海运业健康发展的若干意见"/>
      <w:bookmarkEnd w:id="41"/>
      <w:r>
        <w:t xml:space="preserve">国务院发布《关于促进海运业健康发展的若干意见》</w:t>
      </w:r>
    </w:p>
    <w:p>
      <w:r>
        <w:t xml:space="preserve">日前，国务院发布《关于促进海运业健康发展的若干意见》（以下简称《意见》）。</w:t>
      </w:r>
    </w:p>
    <w:p>
      <w:r>
        <w:t xml:space="preserve">《意见》明确了促进海运业健康发展的总体要求、重点任务及保障措施。其中，就深化海运业改革开放方面，《意见》指出，要深化国有海运企业改革，积极发展国有资本、民营资本等交叉持股、融合发展的混合所有制海运企业。同时，在稳步推进对外开放，在风险可控前提下，在中国（上海）自由贸易试验区稳妥开展外商成立独资船舶管理公司、控股合资海运公司等试点。</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建筑工程施工许可管理办法10月25日起施行"/>
      <w:bookmarkEnd w:id="44"/>
      <w:r>
        <w:t xml:space="preserve">《建筑工程施工许可管理办法》10月25日起施行</w:t>
      </w:r>
    </w:p>
    <w:p>
      <w:r>
        <w:t xml:space="preserve">日前，住房和城乡建设部发布《建筑工程施工许可管理办法》（以下简称《办法》），并自2014年10月25日起施行。</w:t>
      </w:r>
    </w:p>
    <w:p>
      <w:r>
        <w:t xml:space="preserve">根据《办法》，在境内从事各类房屋建筑及其附属设施的建造、装修装饰和与其配套的线路、管道、设备的安装，以及城镇市政基础设施工程的施工，建设单位在开工前应当依照《办法》的规定，向工程所在地的县级以上地方人民政府住房城乡建设主管部门申请领取施工许可证。工程投资额在30万元以下或者建筑面积在300平方米以下的建筑工程，可以不申请办理施工许可证。</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并购"/>
      <w:bookmarkEnd w:id="47"/>
      <w:r>
        <w:t xml:space="preserve">并购</w:t>
      </w:r>
    </w:p>
    <w:p>
      <w:pPr>
        <w:pStyle w:val="Heading3"/>
      </w:pPr>
      <w:bookmarkStart w:id="48" w:name="兴源过滤3.6亿购水美环保"/>
      <w:bookmarkEnd w:id="48"/>
      <w:r>
        <w:t xml:space="preserve">兴源过滤3.6亿购水美环保</w:t>
      </w:r>
    </w:p>
    <w:p>
      <w:r>
        <w:t xml:space="preserve">兴源过滤9月3日公告，拟通过向特定对象非公开发行股份和支付现金相结合的方式购买兴源控股及钟伟尧等11名自然人持有的水美环保 100%股权，并募集配套资金。</w:t>
      </w:r>
    </w:p>
    <w:p>
      <w:r>
        <w:t xml:space="preserve">以6月30日为基准日，水美环保 100%股权的评估价值为3.61亿元，经交易各方协商，水美环保 100%股权的交易作价为 3.6亿元。</w:t>
      </w:r>
    </w:p>
    <w:p>
      <w:r>
        <w:t xml:space="preserve">根据安排，兴源过滤以29.9元/股向兴源控股及钟伟尧等11名自然人合计支付1137.12万股和2000万元现金对价以收购其持有的水美环保100%的股权。同时，公司向不超过5名其他特定投资者发行股份募集配套资金，配套资金总额不超过2000万元。</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张化机15亿购入网游虚拟物品交易平台"/>
      <w:bookmarkEnd w:id="51"/>
      <w:r>
        <w:t xml:space="preserve">张化机15亿购入网游虚拟物品交易平台</w:t>
      </w:r>
    </w:p>
    <w:p>
      <w:r>
        <w:t xml:space="preserve">张化机9月1日发布重组预案，公司拟斥资15亿元收购上海宝酷、金华利诚和酷宝上海全部股权，新增网络游戏虚拟物品交易平台运营业务。交易完成后，公司拟更名为“苏州天沃科技股份有限公司”，公司股票今起复牌。</w:t>
      </w:r>
    </w:p>
    <w:p>
      <w:r>
        <w:t xml:space="preserve">预案显示，上海宝酷作价10.5亿元，金华利诚作价4.25亿元，酷宝上海作价2550万元。张化机计划以6.42元/股的发行价格，向上海宝酷的所有股东发行1.56亿股，并支付现金5000万元购买该公司的全部股权；金华利诚、酷宝上海则以现金支付方式购入。</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知识产权"/>
      <w:bookmarkEnd w:id="54"/>
      <w:r>
        <w:t xml:space="preserve">知识产权</w:t>
      </w:r>
    </w:p>
    <w:p>
      <w:pPr>
        <w:pStyle w:val="Heading3"/>
      </w:pPr>
      <w:bookmarkStart w:id="55" w:name="北上广将设立知识产权法院"/>
      <w:bookmarkEnd w:id="55"/>
      <w:r>
        <w:t xml:space="preserve">北上广将设立知识产权法院</w:t>
      </w:r>
    </w:p>
    <w:p>
      <w:r>
        <w:t xml:space="preserve">8月31日，全国人大常委会发布《关于在北京、上海、广州设立知识产权法院的决定》（下称《决定》），自公布之日起施行。</w:t>
      </w:r>
    </w:p>
    <w:p>
      <w:r>
        <w:t xml:space="preserve">《决定》表示，在北京、上海、广州设立知识产权法院。知识产权法院管辖有关专利、植物新品种、集成电路布图设计、技术秘密等专业技术性较强的第一审知识产权民事和行政案件。不服国务院行政部门裁定或者决定而提起的第一审知识产权授权确权行政案件，由北京知识产权法院管辖。知识产权法院对相关案件实行跨区域管辖。此外，《决定》还明确，知识产权法院第一审判决、裁定的上诉案件，由知识产权法院所在地的高级人民法院审理。</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其他"/>
      <w:bookmarkEnd w:id="58"/>
      <w:r>
        <w:t xml:space="preserve">其他</w:t>
      </w:r>
    </w:p>
    <w:p>
      <w:pPr>
        <w:pStyle w:val="Heading3"/>
      </w:pPr>
      <w:bookmarkStart w:id="59" w:name="内港海关经认证的经营者aeo全面实施"/>
      <w:bookmarkEnd w:id="59"/>
      <w:r>
        <w:t xml:space="preserve">内港海关“经认证的经营者（AEO）”全面实施</w:t>
      </w:r>
    </w:p>
    <w:p>
      <w:r>
        <w:t xml:space="preserve">近日，海关总署发布公告，决定将内港海关实施互认的范围增加空运和海运口岸，并于2014年9月1日起全面实施互认安排。</w:t>
      </w:r>
    </w:p>
    <w:p>
      <w:r>
        <w:t xml:space="preserve">根据公告，内地海关接受香港海关认证的“香港认可经济营运商”为香港的“经认证的经营者”企业（简称“AEO企业”），香港海关接受内地海关认证的AA类进出口企业为内地的AEO企业。</w:t>
      </w:r>
    </w:p>
    <w:p>
      <w:r>
        <w:t xml:space="preserve">内港海关在陆运、空运、海运口岸全领域实施AEO互认，并相互给予对方AEO企业的进口货物如下通关便利措施：降低进口货物查验率；简化进口货物单证审核；进口货物优先通关；设立海关联络员，协调解决企业通关中的问题；非常时期优先处置。</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全国人大常委会修改保险法等五部法律"/>
      <w:bookmarkEnd w:id="62"/>
      <w:r>
        <w:t xml:space="preserve">全国人大常委会修改《保险法》等五部法律</w:t>
      </w:r>
    </w:p>
    <w:p>
      <w:r>
        <w:t xml:space="preserve">8月31日，全国人民代表大会常务委员会公布《关于修改〈中华人民共和国保险法〉等五部法律的决定》（以下简称《决定》），并自公布之日起施行。</w:t>
      </w:r>
    </w:p>
    <w:p>
      <w:r>
        <w:t xml:space="preserve">根据《决定》，全国人大常委会对《中华人民共和国保险法》、《中华人民共和国证券法》、《中华人民共和国注册会计师法》、《中华人民共和国政府采购法》、《中华人民共和国气象法》五部法律作出了修改。五部法律将根据《决定》作相应修改，重新公布。</w:t>
      </w:r>
    </w:p>
    <w:p>
      <w:r>
        <w:t xml:space="preserve">其中，修改后的《中华人民共和国保险法》规定，保险公司应当聘用专业人员，建立精算报告制度和合规报告制度。</w:t>
      </w:r>
    </w:p>
    <w:p>
      <w:r>
        <w:t xml:space="preserve">修改后的《中华人民共和国证券法》将第九十一条修改为：“在收购要约确定的承诺期限内，收购人不得撤销其收购要约。收购人需要变更收购要约的，必须及时公告，载明具体变更事项。”</w:t>
      </w:r>
    </w:p>
    <w:p>
      <w:r>
        <w:t xml:space="preserve">将第一百零八条、第一百三十一条第二款中的“有《中华人民共和国公司法》第一百四十七条规定的情形”修改为“有《中华人民共和国公司法》第一百四十六条规定的情形”。</w:t>
      </w:r>
    </w:p>
    <w:p>
      <w:r>
        <w:t xml:space="preserve">删去第二百一十三条中的“报送上市公司收购报告书”和“或者擅自变更收购要约”。</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新修订安全生产法重特大事故最高可罚2000万"/>
      <w:bookmarkEnd w:id="65"/>
      <w:r>
        <w:t xml:space="preserve">新修订安全生产法：重特大事故最高可罚2000万</w:t>
      </w:r>
    </w:p>
    <w:p>
      <w:r>
        <w:t xml:space="preserve">全国人大常委会日前发布《关于修改〈中华人民共和国安全生产法〉的决定》（下称《决定》），自2014年12月1日起施行。</w:t>
      </w:r>
    </w:p>
    <w:p>
      <w:r>
        <w:t xml:space="preserve">《决定》将《中华人民共和国安全生产法》增加一条，作为第一百零九条：“发生生产安全事故，对负有责任的生产经营单位除要求其依法承担相应的赔偿等责任外，由安全生产监督管理部门依照下列规定处以罚款：（一）发生一般事故的，处二十万元以上五十万元以下的罚款；（二）发生较大事故的，处五十万元以上一百万元以下的罚款；（三）发生重大事故的，处一百万元以上五百万元以下的罚款；（四）发生特别重大事故的，处五百万元以上一千万元以下的罚款；情节特别严重的，处一千万元以上二千万元以下的罚款。” 此外，《中华人民共和国安全生产法》根据本决定作相应修改，重新公布。</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8">
        <w:r>
          <w:rPr>
            <w:rStyle w:val="Link"/>
          </w:rPr>
          <w:t xml:space="preserve">unsubscribe@charltonslaw.com</w:t>
        </w:r>
      </w:hyperlink>
    </w:p>
    <w:p>
      <w:r>
        <w:rPr>
          <w:b/>
        </w:rPr>
        <w:t xml:space="preserve">易周律师行 - 法讯 - 中国 - 第422期 - 2014年09月05日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79551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2" Target="http://epaper.stcn.com/paper/zqsb/html/2014-09/01/content_609116.htm" TargetMode="External" /><Relationship Type="http://schemas.openxmlformats.org/officeDocument/2006/relationships/hyperlink" Id="rId38" Target="http://epaper.stcn.com/paper/zqsb/html/2014-09/01/content_609140.htm" TargetMode="External" /><Relationship Type="http://schemas.openxmlformats.org/officeDocument/2006/relationships/hyperlink" Id="rId49" Target="http://epaper.stcn.com/paper/zqsb/html/2014-09/03/content_609629.htm" TargetMode="External" /><Relationship Type="http://schemas.openxmlformats.org/officeDocument/2006/relationships/hyperlink" Id="rId28" Target="http://epaper.stcn.com/paper/zqsb/html/epaper/index/content_610155.htm" TargetMode="External" /><Relationship Type="http://schemas.openxmlformats.org/officeDocument/2006/relationships/hyperlink" Id="rId21" Target="http://www.charltonslaw.com.cn/china-news-alerts-cn-issue-422/" TargetMode="External" /><Relationship Type="http://schemas.openxmlformats.org/officeDocument/2006/relationships/hyperlink" Id="rId35" Target="http://www.chinatax.gov.cn/n2226/n2271/n2272/c772015/content.html" TargetMode="External" /><Relationship Type="http://schemas.openxmlformats.org/officeDocument/2006/relationships/hyperlink" Id="rId60" Target="http://www.customs.gov.cn/publish/portal0/tab49564/info717348.htm" TargetMode="External" /><Relationship Type="http://schemas.openxmlformats.org/officeDocument/2006/relationships/hyperlink" Id="rId31" Target="http://www.gov.cn/xinwen/2014-08/30/content_2742779.htm" TargetMode="External" /><Relationship Type="http://schemas.openxmlformats.org/officeDocument/2006/relationships/hyperlink" Id="rId42" Target="http://www.gov.cn/zhengce/content/2014-09/03/content_9062.htm" TargetMode="External" /><Relationship Type="http://schemas.openxmlformats.org/officeDocument/2006/relationships/hyperlink" Id="rId25" Target="http://www.mof.gov.cn/zhengwuxinxi/caizhengxinwen/201409/t20140901_1133762.html" TargetMode="External" /><Relationship Type="http://schemas.openxmlformats.org/officeDocument/2006/relationships/hyperlink" Id="rId45" Target="http://www.mohurd.gov.cn/zcfg/jsbgz/201409/t20140901_218863.html" TargetMode="External" /><Relationship Type="http://schemas.openxmlformats.org/officeDocument/2006/relationships/hyperlink" Id="rId56" Target="http://www.npc.gov.cn/npc/xinwen/2014-09/01/content_1877042.htm" TargetMode="External" /><Relationship Type="http://schemas.openxmlformats.org/officeDocument/2006/relationships/hyperlink" Id="rId63" Target="http://www.npc.gov.cn/npc/xinwen/2014-09/01/content_1877049.htm" TargetMode="External" /><Relationship Type="http://schemas.openxmlformats.org/officeDocument/2006/relationships/hyperlink" Id="rId66" Target="http://www.npc.gov.cn/npc/xinwen/2014-09/01/content_1877054.htm" TargetMode="External" /><Relationship Type="http://schemas.openxmlformats.org/officeDocument/2006/relationships/hyperlink" Id="rId6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2" Target="http://epaper.stcn.com/paper/zqsb/html/2014-09/01/content_609116.htm" TargetMode="External" /><Relationship Type="http://schemas.openxmlformats.org/officeDocument/2006/relationships/hyperlink" Id="rId38" Target="http://epaper.stcn.com/paper/zqsb/html/2014-09/01/content_609140.htm" TargetMode="External" /><Relationship Type="http://schemas.openxmlformats.org/officeDocument/2006/relationships/hyperlink" Id="rId49" Target="http://epaper.stcn.com/paper/zqsb/html/2014-09/03/content_609629.htm" TargetMode="External" /><Relationship Type="http://schemas.openxmlformats.org/officeDocument/2006/relationships/hyperlink" Id="rId28" Target="http://epaper.stcn.com/paper/zqsb/html/epaper/index/content_610155.htm" TargetMode="External" /><Relationship Type="http://schemas.openxmlformats.org/officeDocument/2006/relationships/hyperlink" Id="rId21" Target="http://www.charltonslaw.com.cn/china-news-alerts-cn-issue-422/" TargetMode="External" /><Relationship Type="http://schemas.openxmlformats.org/officeDocument/2006/relationships/hyperlink" Id="rId35" Target="http://www.chinatax.gov.cn/n2226/n2271/n2272/c772015/content.html" TargetMode="External" /><Relationship Type="http://schemas.openxmlformats.org/officeDocument/2006/relationships/hyperlink" Id="rId60" Target="http://www.customs.gov.cn/publish/portal0/tab49564/info717348.htm" TargetMode="External" /><Relationship Type="http://schemas.openxmlformats.org/officeDocument/2006/relationships/hyperlink" Id="rId31" Target="http://www.gov.cn/xinwen/2014-08/30/content_2742779.htm" TargetMode="External" /><Relationship Type="http://schemas.openxmlformats.org/officeDocument/2006/relationships/hyperlink" Id="rId42" Target="http://www.gov.cn/zhengce/content/2014-09/03/content_9062.htm" TargetMode="External" /><Relationship Type="http://schemas.openxmlformats.org/officeDocument/2006/relationships/hyperlink" Id="rId25" Target="http://www.mof.gov.cn/zhengwuxinxi/caizhengxinwen/201409/t20140901_1133762.html" TargetMode="External" /><Relationship Type="http://schemas.openxmlformats.org/officeDocument/2006/relationships/hyperlink" Id="rId45" Target="http://www.mohurd.gov.cn/zcfg/jsbgz/201409/t20140901_218863.html" TargetMode="External" /><Relationship Type="http://schemas.openxmlformats.org/officeDocument/2006/relationships/hyperlink" Id="rId56" Target="http://www.npc.gov.cn/npc/xinwen/2014-09/01/content_1877042.htm" TargetMode="External" /><Relationship Type="http://schemas.openxmlformats.org/officeDocument/2006/relationships/hyperlink" Id="rId63" Target="http://www.npc.gov.cn/npc/xinwen/2014-09/01/content_1877049.htm" TargetMode="External" /><Relationship Type="http://schemas.openxmlformats.org/officeDocument/2006/relationships/hyperlink" Id="rId66" Target="http://www.npc.gov.cn/npc/xinwen/2014-09/01/content_1877054.htm" TargetMode="External" /><Relationship Type="http://schemas.openxmlformats.org/officeDocument/2006/relationships/hyperlink" Id="rId6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第422期 - 2014年09月05日</dc:title>
  <dc:creator/>
</cp:coreProperties>
</file>