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第427期</w:t>
      </w:r>
      <w:r>
        <w:t xml:space="preserve"> </w:t>
      </w:r>
      <w:r>
        <w:t xml:space="preserve">-</w:t>
      </w:r>
      <w:r>
        <w:t xml:space="preserve"> </w:t>
      </w:r>
      <w:r>
        <w:t xml:space="preserve">2014年10月17日</w:t>
      </w:r>
    </w:p>
    <w:p>
      <w:hyperlink r:id="rId21">
        <w:r>
          <w:rPr>
            <w:rStyle w:val="Link"/>
          </w:rPr>
          <w:t xml:space="preserve">网络版</w:t>
        </w:r>
      </w:hyperlink>
    </w:p>
    <w:p>
      <w:pPr>
        <w:pStyle w:val="Heading1"/>
      </w:pPr>
      <w:bookmarkStart w:id="22" w:name="法讯中国第427期"/>
      <w:bookmarkEnd w:id="22"/>
      <w:r>
        <w:t xml:space="preserve">法讯中国第427期</w:t>
      </w:r>
    </w:p>
    <w:p>
      <w:pPr>
        <w:pStyle w:val="Heading2"/>
      </w:pPr>
      <w:bookmarkStart w:id="23" w:name="资本市场"/>
      <w:bookmarkEnd w:id="23"/>
      <w:r>
        <w:t xml:space="preserve">资本市场</w:t>
      </w:r>
    </w:p>
    <w:p>
      <w:pPr>
        <w:pStyle w:val="Heading3"/>
      </w:pPr>
      <w:bookmarkStart w:id="24" w:name="深交所发布基金交易和申购赎回实施细则"/>
      <w:bookmarkEnd w:id="24"/>
      <w:r>
        <w:t xml:space="preserve">深交所发布《基金交易和申购赎回实施细则》</w:t>
      </w:r>
    </w:p>
    <w:p>
      <w:r>
        <w:t xml:space="preserve">10月14日，深圳证券交易所发布《深圳证券交易所证券投资基金交易和申购赎回实施细则》（以下简称《细则》），对现行基金交易、认购、申购和赎回业务规则进行了整合。</w:t>
      </w:r>
    </w:p>
    <w:p>
      <w:r>
        <w:t xml:space="preserve">相较于现行业务规则，《细则》主要做了以下修改和补充：一是明确了ETF、LOF、分级基金和封闭式基金等四类上市基金品种的定义，将ETF拓展至非指数型基金；二是增加货币ETF交易和申购赎回的相关业务规范；三是明确了基金份额大宗交易的规则，对基金份额大宗交易和竞价交易、申购、赎回之间的份额使用规定进行了具体描述；四是增加了投资者保护的原则性规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修改深圳证券交易所融资融券交易实施细则"/>
      <w:bookmarkEnd w:id="27"/>
      <w:r>
        <w:t xml:space="preserve">深交所修改《深圳证券交易所融资融券交易实施细则》</w:t>
      </w:r>
    </w:p>
    <w:p>
      <w:r>
        <w:t xml:space="preserve">10月11日，深圳证券交易所发布通知就《深圳证券交易所融资融券交易实施细则》第6.1条作出修改，并自发布之日起施行。</w:t>
      </w:r>
    </w:p>
    <w:p>
      <w:r>
        <w:t xml:space="preserve">根据修改后的规定，单只标的证券的融资余额、信用账户持有市值占该证券上市可流通市值的比例均达到25%时，深交所可以在次一交易日暂停其融资买入，并向市场公布。此外，该标的证券的融资余额或者信用账户持有市值占该证券上市可流通市值的比例降低至20%以下时，深交所可以在次一交易日恢复其融资买入，并向市场公布。</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券公司短期公司债券业务试点工作启动"/>
      <w:bookmarkEnd w:id="30"/>
      <w:r>
        <w:t xml:space="preserve">证券公司短期公司债券业务试点工作启动</w:t>
      </w:r>
    </w:p>
    <w:p>
      <w:r>
        <w:t xml:space="preserve">近日，深沪证券交易所分别发布《证券公司短期公司债券业务试点办法》（以下简称《试点办法》），允许获得中国证监会试点发行资质认可的证券公司和中国证券金融股份有限公司发行短期公司债券。</w:t>
      </w:r>
    </w:p>
    <w:p>
      <w:r>
        <w:t xml:space="preserve">根据《试点办法》，证券公司短期债是指证券公司以短期融资为目的，约定在一年（含）以内还本付息的公司债券。证券公司短期债实行余额管理，证券公司可以在中国证监会规定的额度范围内，经交易所事前备案，自主确定每期债券的发行时间、期限和规模。此外，证券公司短期债实行严格的投资者适当性管理制度，每期投资者不超过两百人。</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r>
        <w:t xml:space="preserve"> </w:t>
      </w:r>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保险"/>
      <w:bookmarkEnd w:id="35"/>
      <w:r>
        <w:t xml:space="preserve">保险</w:t>
      </w:r>
    </w:p>
    <w:p>
      <w:pPr>
        <w:pStyle w:val="Heading3"/>
      </w:pPr>
      <w:bookmarkStart w:id="36" w:name="保监会发布保险公司所属非保险子公司管理暂行办法"/>
      <w:bookmarkEnd w:id="36"/>
      <w:r>
        <w:t xml:space="preserve">保监会发布《保险公司所属非保险子公司管理暂行办法》</w:t>
      </w:r>
    </w:p>
    <w:p>
      <w:r>
        <w:t xml:space="preserve">近日，中国保监会发布《保险公司所属非保险子公司管理暂行办法》（以下简称《办法》）。</w:t>
      </w:r>
    </w:p>
    <w:p>
      <w:r>
        <w:t xml:space="preserve">《办法》所称保险公司所属非保险子公司，是指保险公司对其实施直接或间接控制的不属于保险类企业的境内外公司。主要包括四类：银行、证券和信托等其他金融机构；承担保险公司部分职能的共享服务类公司；投资保险业上下游产业链形成的关联产业公司；其他无业务相关性的公司。</w:t>
      </w:r>
    </w:p>
    <w:p>
      <w:r>
        <w:t xml:space="preserve">《办法》重点规范了保险公司投资和管理非保险子公司的五类行为：投资设立非保险子公司；对非保险子公司的管控；与非保险子公司之间的内部交易；向非保险子公司的外包；与非保险子公司的防火墙建设。</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保监会开展偿二代流动性风险监管规则定量测试"/>
      <w:bookmarkEnd w:id="39"/>
      <w:r>
        <w:t xml:space="preserve">保监会开展偿二代流动性风险监管规则定量测试</w:t>
      </w:r>
    </w:p>
    <w:p>
      <w:r>
        <w:t xml:space="preserve">日前，保监会发布《保险公司偿付能力监管规则第×号：流动性风险（征求意见稿第二稿）》，并向各保险公司、保监局公开征求意见。</w:t>
      </w:r>
    </w:p>
    <w:p>
      <w:r>
        <w:t xml:space="preserve">意见稿采纳了风险管理、监管指标、压力测试“三位一体”的流动性监管框架，统一了产险公司和寿险公司的流动性监管规则，并设定了流动比率、综合流动比率、流动性覆盖率三个国际通行的流动性监管指标。</w:t>
      </w:r>
    </w:p>
    <w:p>
      <w:r>
        <w:t xml:space="preserve">同时，保监会组织开展了保险业首次全行业的现金流压力测试和监测指标定量测试。此次压力测试中，产险公司需要测试的两个压力情景分别是新业务保费同比下降20％和赔款现金流上升20％，寿险公司需要测试的两个压力情景分别是新业务保费下降20％和退保率上升200％。</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两部委发文实施煤炭资源税改革"/>
      <w:bookmarkEnd w:id="43"/>
      <w:r>
        <w:t xml:space="preserve">两部委发文实施煤炭资源税改革</w:t>
      </w:r>
    </w:p>
    <w:p>
      <w:r>
        <w:t xml:space="preserve">财政部等两部委日前发布《关于实施煤炭资源税改革的通知》（下称《通知》），明确自2014年12月1日起在全国范围内实施煤炭资源税从价计征改革。</w:t>
      </w:r>
    </w:p>
    <w:p>
      <w:r>
        <w:t xml:space="preserve">根据《通知》，煤炭资源税实行从价定率计征，其中煤炭应税产品包括原煤和以未税原煤加工的洗选煤。煤炭资源税税率幅度为2%-10%，具体适用税率由省级财税部门在上述幅度内，根据本地区清理收费基金、企业承受能力、煤炭资源条件等因素提出建议，报省级人民政府拟定。结合当前煤炭行业实际情况，现行税费负担较高的地区要适当降低负担水平。此外，《通知》明确，对衰竭期煤矿开采的煤炭，资源税减征30%；对充填开采置换出来的煤炭，资源税减征50%。</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两部委调整原油天然气资源税有关政策"/>
      <w:bookmarkEnd w:id="46"/>
      <w:r>
        <w:t xml:space="preserve">两部委调整原油、天然气资源税有关政策</w:t>
      </w:r>
    </w:p>
    <w:p>
      <w:r>
        <w:t xml:space="preserve">财政部等两部委日前发布《关于调整原油、天然气资源税有关政策的通知》（下称《通知》），自2014年12月1日起执行。</w:t>
      </w:r>
    </w:p>
    <w:p>
      <w:r>
        <w:t xml:space="preserve">根据《通知》，原油、天然气矿产资源补偿费费率降为零，相应将资源税适用税率由5%提高至6%。同时，将对油田范围内运输稠油过程中用于加热的原油、天然气免征资源税；对稠油、高凝油和高含硫天然气资源税减征40%；对三次采油资源税减征30%；对低丰度油气田资源税暂减征20%；对深水油气田资源税减征30%。此外，《通知》还明确，开采海洋或陆上油气资源的中外合作油气田自2011年11月1日起新签订的合同缴纳资源税，不再缴纳矿区使用费。</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税总局发布融资租赁货物出口退税管理办法"/>
      <w:bookmarkEnd w:id="49"/>
      <w:r>
        <w:t xml:space="preserve">国税总局发布《融资租赁货物出口退税管理办法》</w:t>
      </w:r>
    </w:p>
    <w:p>
      <w:r>
        <w:t xml:space="preserve">国税总局日前发布《融资租赁货物出口退税管理办法》（下称《办法》），自2014年10月1日起施行。</w:t>
      </w:r>
    </w:p>
    <w:p>
      <w:r>
        <w:t xml:space="preserve">《办法》明确了享受出口退税政策的融资租赁企业（以下称融资租赁出租方）出口退（免）税资格的认定、退税申报、审核等事项。根据《办法》，融资租赁出租方应在首份融资租赁合同签订之日起30日内，到主管国家税务局办理出口退（免）税资格认定。融资租赁出租方应在融资租赁货物报关出口之日或收取融资租赁海洋工程结构物首笔租金开具发票之日次月起至次年4月30日前的各增值税纳税申报期内，收齐有关凭证，向主管国家税务局办理融资租赁货物增值税、消费税退税申报。</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税总局明确小微企业免征增值税和营业税有关问题"/>
      <w:bookmarkEnd w:id="52"/>
      <w:r>
        <w:t xml:space="preserve">国税总局明确小微企业免征增值税和营业税有关问题</w:t>
      </w:r>
    </w:p>
    <w:p>
      <w:r>
        <w:t xml:space="preserve">近日，国家税务总局发布《关于小微企业免征增值税和营业税有关问题的公告》（下称《公告》），自2014年10月1日起施行。</w:t>
      </w:r>
    </w:p>
    <w:p>
      <w:r>
        <w:t xml:space="preserve">《公告》明确，增值税小规模纳税人和营业税纳税人，月销售额或营业额不超过3万元（含3万元，下同）的，按照规定免征增值税或营业税。其中，以1个季度为纳税期限的增值税小规模纳税人和营业税纳税人，季度销售额或营业额不超过9万元的，按照规定免征增值税或营业税。根据《公告》，增值税小规模纳税人兼营营业税应税项目的，应当分别核算增值税应税项目的销售额和营业税应税项目的营业额，并按上述标准免征增值税和营业税。</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wto"/>
      <w:bookmarkEnd w:id="55"/>
      <w:r>
        <w:t xml:space="preserve">WTO</w:t>
      </w:r>
    </w:p>
    <w:p>
      <w:pPr>
        <w:pStyle w:val="Heading3"/>
      </w:pPr>
      <w:bookmarkStart w:id="56" w:name="商务部发布2015年食糖进口关税配额申请和分配细则"/>
      <w:bookmarkEnd w:id="56"/>
      <w:r>
        <w:t xml:space="preserve">商务部发布《2015年食糖进口关税配额申请和分配细则》</w:t>
      </w:r>
    </w:p>
    <w:p>
      <w:r>
        <w:t xml:space="preserve">商务部日前发布《2015年食糖进口关税配额申请和分配细则》（下称《细则》），明确2015年食糖进口关税配额总量为194.5万吨，其中70%为国营贸易配额。</w:t>
      </w:r>
    </w:p>
    <w:p>
      <w:r>
        <w:t xml:space="preserve">根据《细则》，持有2014年食糖关税配额且有进口实绩的企业或日加工原糖600吨以上（含600吨）、注册资金1000万元以上（含1000万元）、食糖年销售额4.5亿元以上（含4.5亿元）的制糖企业可以申请关税配额，但同时需满足三项基本条件。另外，如关税配额总量不能满足符合条件申请者的申请总量，则有实绩申请者优先获得配额，根据申请者上年进口实绩、生产能力、销售额及其他相关商业标准进行分配。</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海关总署调整煤炭进口关税税率"/>
      <w:bookmarkEnd w:id="59"/>
      <w:r>
        <w:t xml:space="preserve">海关总署调整煤炭进口关税税率</w:t>
      </w:r>
    </w:p>
    <w:p>
      <w:r>
        <w:t xml:space="preserve">海关总署日前发布《关于调整煤炭进口关税税率的公告》（下称《公告》）。</w:t>
      </w:r>
    </w:p>
    <w:p>
      <w:r>
        <w:t xml:space="preserve">《公告》明确，经国务院批准，自2014年10月15日起，取消无烟煤（税号：27011100）、炼焦煤（税号：27011210）、炼焦煤以外的其他烟煤（税号：27011290）、其他煤（税号：27011900）、煤球等燃料（税号：27012000）的零进口暂定税率，分别恢复实施3%（无烟煤）、3%（炼焦煤）、6%（炼焦煤以外的其他烟煤）、5%（其他煤）、5%（煤球等燃料）的最惠国税率。</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北京公立医院将试水特许经营"/>
      <w:bookmarkEnd w:id="63"/>
      <w:r>
        <w:t xml:space="preserve">北京公立医院将试水特许经营</w:t>
      </w:r>
    </w:p>
    <w:p>
      <w:r>
        <w:t xml:space="preserve">日前，北京市人民政府印发《关于促进健康服务业发展的实施意见》（以下简称《意见》），首次提出了公立医疗机构“特许经营”概念，即允许公立医院在保障资产安全、医疗质量安全且具备相应管理能力的前提下，以特许经营的方式开展与社会资本的合作。</w:t>
      </w:r>
    </w:p>
    <w:p>
      <w:r>
        <w:t xml:space="preserve">根据《意见》，北京市鼓励港澳台地区以及国际资本举办医疗机构，并按本市有关规定享受支持政策；鼓励中外合资、合作办医；鼓励符合资质的个人开办诊所；鼓励社会力量举办社区卫生服务机构。同时，对于符合条件的非公立医疗机构，北京将按照规定纳入基本医疗保障定点范围。</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交通运输部要求加强危险品运输安全监督管理"/>
      <w:bookmarkEnd w:id="66"/>
      <w:r>
        <w:t xml:space="preserve">交通运输部要求加强危险品运输安全监督管理</w:t>
      </w:r>
    </w:p>
    <w:p>
      <w:r>
        <w:t xml:space="preserve">交通运输部日前发布《关于加强危险品运输安全监督管理的若干意见》（下称《意见》）。</w:t>
      </w:r>
    </w:p>
    <w:p>
      <w:r>
        <w:t xml:space="preserve">《意见》要求，严格危险品运输市场准入。2015年底前，暂停审批道路危险品运输企业；2017年底前，暂停审批内河水路油品、化学品运输单船公司；严格新建、改建、扩建的港口危险品罐区（储罐）、库（堆）场、危险品码头和输送管线项目的安全设施设计审查和验收，凡未通过安全生产条件审查的，一律不得开工；未通过项目验收、取得危险品码头作业附证的，一律不得运营生产。《意见》还要求严格运输工具准入管理。自2015年1月1日起，无紧急切断装置且无安全技术检验合格证明的液体危险品罐车，根据相关法律、法规规定不予通过年审，并注销其道路运输证。</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工商总局和工信部加强境内网络交易网站监管"/>
      <w:bookmarkEnd w:id="69"/>
      <w:r>
        <w:t xml:space="preserve">工商总局和工信部加强境内网络交易网站监管</w:t>
      </w:r>
    </w:p>
    <w:p>
      <w:r>
        <w:t xml:space="preserve">工商总局和工信部近日联合发布《关于加强境内网络交易网站监管工作协作积极促进电子商务发展的意见》（下称《意见》）。</w:t>
      </w:r>
    </w:p>
    <w:p>
      <w:r>
        <w:t xml:space="preserve">《意见》提出，各级工商行政管理部门、电信主管部门应通过有效方式实现市场主体的工商登记注册信息和网站备案信息等数据共享，对相互提出的涉网经营主体信息、网站主办者主体信息的查询、比对、核实等予以配合，从多方面保障网络经营主体、物理经营地址、网络接入信息真实有效。</w:t>
      </w:r>
    </w:p>
    <w:p>
      <w:r>
        <w:t xml:space="preserve">另外，各级工商行政管理部门查处违法网站经营者过程中，遇到危及国家安全、社会公共安全和人民财产安全等重大且紧急的特殊案件时，为及时制止违法网站的违法行为，可以先行函请电信主管部门依法对违法网站采取停止互联网接入服务的紧急处置措施。</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两部委将全面清理取消涉及煤油气收费基金"/>
      <w:bookmarkEnd w:id="72"/>
      <w:r>
        <w:t xml:space="preserve">两部委：将全面清理取消涉及煤油气收费基金</w:t>
      </w:r>
    </w:p>
    <w:p>
      <w:r>
        <w:t xml:space="preserve">10月10日，财政部、发改委发布《关于全面清理涉及煤炭原油天然气收费基金有关问题的通知》（下称《通知》）。</w:t>
      </w:r>
    </w:p>
    <w:p>
      <w:r>
        <w:t xml:space="preserve">《通知》明确，自2014年12月1日起，在全国范围统一将煤炭、原油、天然气矿产资源补偿费费率降为零，停止征收煤炭、原油、天然气价格调节基金，取消煤炭可持续发展基金（山西省）、原生矿产品生态补偿费（青海省）、煤炭资源地方经济发展费（新疆维吾尔自治区）。《通知》强调，今后除法律、行政法规和国务院规定外，任何地方、部门和单位均不得设立新的涉及煤炭、原油、天然气的行政事业性收费和政府性基金项目。</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住房和城乡建设部进一步推进工程造价管理改革"/>
      <w:bookmarkEnd w:id="75"/>
      <w:r>
        <w:t xml:space="preserve">住房和城乡建设部进一步推进工程造价管理改革</w:t>
      </w:r>
    </w:p>
    <w:p>
      <w:r>
        <w:t xml:space="preserve">日前，住房和城乡建设部发布《关于进一步推进工程造价管理改革的指导意见》（以下简称《意见》）。</w:t>
      </w:r>
    </w:p>
    <w:p>
      <w:r>
        <w:t xml:space="preserve">《意见》指出，要建立与市场相适应的工程定额管理制度。相关部门要明确工程定额定位，对国有资金投资工程，作为其编制估算、概算、最高投标限价的依据；对其他工程仅供参考。同时，《意见》明确，相关部门应推进工程造价咨询行政审批制度改革，放宽行业准入条件，完善资质标准，调整乙级企业承接业务的范围。</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2"/>
      </w:pPr>
      <w:bookmarkStart w:id="78" w:name="知识产权"/>
      <w:bookmarkEnd w:id="78"/>
      <w:r>
        <w:t xml:space="preserve">知识产权</w:t>
      </w:r>
    </w:p>
    <w:p>
      <w:pPr>
        <w:pStyle w:val="Heading3"/>
      </w:pPr>
      <w:bookmarkStart w:id="79" w:name="国家知识产权局出台新政支持小微企业创新发展"/>
      <w:bookmarkEnd w:id="79"/>
      <w:r>
        <w:t xml:space="preserve">国家知识产权局出台新政支持小微企业创新发展</w:t>
      </w:r>
    </w:p>
    <w:p>
      <w:r>
        <w:t xml:space="preserve">10月10日，国家知识产权局印发《关于知识产权支持小微企业发展的若干意见》（下称《意见》），从扶持小微企业创新发展、完善小微企业知识产权服务等四个方面提出了15条具体措施。</w:t>
      </w:r>
    </w:p>
    <w:p>
      <w:r>
        <w:t xml:space="preserve">《意见》明确提出支持创新成果在国内外及时获权，进一步完善专利审查快速通道，对小微企业亟需获得授权的核心专利申请予以优先审查；完善专利资助政策，加大对小微企业专利申请资助力度，推动专利一般资助向小微企业倾斜，对小微企业申请获权的首件发明专利予以奖励；创新知识产权金融服务，加强与商业银行的知识产权金融服务战略合作，引导各类金融机构为小微企业提供知识产权金融服务，鼓励建立小微企业信贷风险补偿基金等。</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2"/>
      </w:pPr>
      <w:bookmarkStart w:id="82" w:name="并购"/>
      <w:bookmarkEnd w:id="82"/>
      <w:r>
        <w:t xml:space="preserve">并购</w:t>
      </w:r>
    </w:p>
    <w:p>
      <w:pPr>
        <w:pStyle w:val="Heading3"/>
      </w:pPr>
      <w:bookmarkStart w:id="83" w:name="利德曼3.41亿并购德赛系两家公司"/>
      <w:bookmarkEnd w:id="83"/>
      <w:r>
        <w:t xml:space="preserve">利德曼3.41亿并购德赛系两家公司</w:t>
      </w:r>
    </w:p>
    <w:p>
      <w:r>
        <w:t xml:space="preserve">利德曼10月17日宣布，拟斥资3.41亿元购入德赛诊断系统有限公司（下称“德赛系统”）、德赛诊断产品有限公司（下称“德赛产品”）的部分股份，谋求整合生化诊断试剂市场。公司股票今起复牌。</w:t>
      </w:r>
    </w:p>
    <w:p>
      <w:r>
        <w:t xml:space="preserve">公告显示，此次重组分为三步。首先，力鼎基金、赛领基金及智度基金将德赛系统、德赛产品的董事会表决权全部委托给上市公司，并以其持有的德赛系统、德赛产品的股权认购上市公司新增股份。利德曼将获得德赛系统、德赛产品董事会七票表决权中的五票，取得两家公司的实际控制权。</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2"/>
      </w:pPr>
      <w:bookmarkStart w:id="86" w:name="其他"/>
      <w:bookmarkEnd w:id="86"/>
      <w:r>
        <w:t xml:space="preserve">其他</w:t>
      </w:r>
    </w:p>
    <w:p>
      <w:pPr>
        <w:pStyle w:val="Heading3"/>
      </w:pPr>
      <w:bookmarkStart w:id="87" w:name="港澳服务提供者在粤设电商网站可持股比例扩至55"/>
      <w:bookmarkEnd w:id="87"/>
      <w:r>
        <w:t xml:space="preserve">港澳服务提供者在粤设电商网站可持股比例扩至55%</w:t>
      </w:r>
    </w:p>
    <w:p>
      <w:r>
        <w:t xml:space="preserve">日前，国务院发布《关于香港和澳门服务提供者在广东省提供在线数据处理与交易处理业务有关问题的批复》（以下简称《批复》），同意香港服务提供者和澳门服务提供者在广东省设立合资企业提供在线数据处理与交易处理业务（仅限于经营性电子商务网站）的持股比例上限扩大到55%。</w:t>
      </w:r>
    </w:p>
    <w:p>
      <w:r>
        <w:t xml:space="preserve">根据《批复》，香港服务提供者和澳门服务提供者应分别符合《内地与香港关于建立更紧密经贸关系的安排》和《内地与澳门关于建立更紧密经贸关系的安排》及其补充协议中的有关规定。</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海关总署公布海关企业信用管理暂行办法"/>
      <w:bookmarkEnd w:id="90"/>
      <w:r>
        <w:t xml:space="preserve">海关总署公布《海关企业信用管理暂行办法》</w:t>
      </w:r>
    </w:p>
    <w:p>
      <w:r>
        <w:t xml:space="preserve">10月8日，海关总署公布《海关企业信用管理暂行办法》（以下简称《办法》），自2014年12月1日起施行。</w:t>
      </w:r>
    </w:p>
    <w:p>
      <w:r>
        <w:t xml:space="preserve">《办法》明确，海关根据企业信用状况将企业认定为认证企业、一般信用企业和失信企业，按照诚信守法便利、失信违法惩戒原则，分别适用相应的管理措施。同时，《办法》就企业信用信息采集和公示、企业信用状况的认定标准和程序、管理原则和措施等内容作出了规定。</w:t>
      </w:r>
    </w:p>
    <w:p>
      <w:r>
        <w:t xml:space="preserve">根据《办法》，作为企业信用状况认定依据的走私犯罪，以刑事判决书生效时间为准进行认定；作为企业信用状况认定依据的走私行为、违反海关监管规定行为，以海关行政处罚决定书作出时间为准进行认定。</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3">
        <w:r>
          <w:rPr>
            <w:rStyle w:val="Link"/>
          </w:rPr>
          <w:t xml:space="preserve">unsubscribe@charltonslaw.com</w:t>
        </w:r>
      </w:hyperlink>
    </w:p>
    <w:p>
      <w:r>
        <w:rPr>
          <w:b/>
        </w:rPr>
        <w:t xml:space="preserve">易周律师行 - 法讯 - 中国 - 第427期 - 2014年10月17日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c825b8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1" Target="17.pdf" TargetMode="External" /><Relationship Type="http://schemas.openxmlformats.org/officeDocument/2006/relationships/hyperlink" Id="rId85" Target="18.pdf" TargetMode="External" /><Relationship Type="http://schemas.openxmlformats.org/officeDocument/2006/relationships/hyperlink" Id="rId89"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4" Target="http://epaper.stcn.com/paper/zqsb/html/epaper/index/content_619664.htm" TargetMode="External" /><Relationship Type="http://schemas.openxmlformats.org/officeDocument/2006/relationships/hyperlink" Id="rId64" Target="http://govfile.beijing.gov.cn/Govfile/front/content/12014029_0.html" TargetMode="External" /><Relationship Type="http://schemas.openxmlformats.org/officeDocument/2006/relationships/hyperlink" Id="rId73" Target="http://szs.mof.gov.cn/zhengwuxinxi/zhengcefabu/201410/t20141011_1148653.html" TargetMode="External" /><Relationship Type="http://schemas.openxmlformats.org/officeDocument/2006/relationships/hyperlink" Id="rId44" Target="http://szs.mof.gov.cn/zhengwuxinxi/zhengcefabu/201410/t20141011_1148669.html" TargetMode="External" /><Relationship Type="http://schemas.openxmlformats.org/officeDocument/2006/relationships/hyperlink" Id="rId47" Target="http://szs.mof.gov.cn/zhengwuxinxi/zhengcefabu/201410/t20141011_1148671.html" TargetMode="External" /><Relationship Type="http://schemas.openxmlformats.org/officeDocument/2006/relationships/hyperlink" Id="rId21" Target="http://www.charltonslaw.com.cn/china-news-alerts-cn-issue-427/" TargetMode="External" /><Relationship Type="http://schemas.openxmlformats.org/officeDocument/2006/relationships/hyperlink" Id="rId37" Target="http://www.circ.gov.cn/web/site0/tab5168/info3929851.htm" TargetMode="External" /><Relationship Type="http://schemas.openxmlformats.org/officeDocument/2006/relationships/hyperlink" Id="rId40" Target="http://www.circ.gov.cn/web/site0/tab5168/info3930495.htm" TargetMode="External" /><Relationship Type="http://schemas.openxmlformats.org/officeDocument/2006/relationships/hyperlink" Id="rId60" Target="http://www.customs.gov.cn/publish/portal0/tab49564/info720982.htm" TargetMode="External" /><Relationship Type="http://schemas.openxmlformats.org/officeDocument/2006/relationships/hyperlink" Id="rId91" Target="http://www.customs.gov.cn/publish/portal0/tab49660/info720845.htm" TargetMode="External" /><Relationship Type="http://schemas.openxmlformats.org/officeDocument/2006/relationships/hyperlink" Id="rId80" Target="http://www.gov.cn/xinwen/2014-10/10/content_2762433.htm" TargetMode="External" /><Relationship Type="http://schemas.openxmlformats.org/officeDocument/2006/relationships/hyperlink" Id="rId88" Target="http://www.gov.cn/zhengce/content/2014-10/14/content_9144.htm" TargetMode="External" /><Relationship Type="http://schemas.openxmlformats.org/officeDocument/2006/relationships/hyperlink" Id="rId67" Target="http://www.moc.gov.cn/zfxxgk/bnssj/aqjds/201410/t20141014_1707965.html" TargetMode="External" /><Relationship Type="http://schemas.openxmlformats.org/officeDocument/2006/relationships/hyperlink" Id="rId57" Target="http://www.mofcom.gov.cn/article/b/e/201410/20141000759139.shtml" TargetMode="External" /><Relationship Type="http://schemas.openxmlformats.org/officeDocument/2006/relationships/hyperlink" Id="rId76" Target="http://www.mohurd.gov.cn/zcfg/jsbwj_0/jsbwjbzde/201410/t20141010_219253.html" TargetMode="External" /><Relationship Type="http://schemas.openxmlformats.org/officeDocument/2006/relationships/hyperlink" Id="rId70" Target="http://www.saic.gov.cn/zwgk/zyfb/lhfw/lhfw/scgfgls/201410/t20141011_148932.html" TargetMode="External" /><Relationship Type="http://schemas.openxmlformats.org/officeDocument/2006/relationships/hyperlink" Id="rId31" Target="http://www.sse.com.cn/lawandrules/sserules/trading/bond/c/c_20141016_3848225.shtml" TargetMode="External" /><Relationship Type="http://schemas.openxmlformats.org/officeDocument/2006/relationships/hyperlink" Id="rId28" Target="http://www.szse.cn/main/disclosure/bsgg_front/39753019.shtml" TargetMode="External" /><Relationship Type="http://schemas.openxmlformats.org/officeDocument/2006/relationships/hyperlink" Id="rId25" Target="http://www.szse.cn/main/disclosure/bsgg_front/39753063.shtml" TargetMode="External" /><Relationship Type="http://schemas.openxmlformats.org/officeDocument/2006/relationships/hyperlink" Id="rId33" Target="http://www.szse.cn/main/disclosure/bsgg_front/39753073.shtml" TargetMode="External" /><Relationship Type="http://schemas.openxmlformats.org/officeDocument/2006/relationships/hyperlink" Id="rId53" Target="http://wz.nxgs.gov.cn/info/1049/4608.htm" TargetMode="External" /><Relationship Type="http://schemas.openxmlformats.org/officeDocument/2006/relationships/hyperlink" Id="rId50" Target="http://wz.nxgs.gov.cn/info/1049/4609.htm" TargetMode="External" /><Relationship Type="http://schemas.openxmlformats.org/officeDocument/2006/relationships/hyperlink" Id="rId9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1" Target="17.pdf" TargetMode="External" /><Relationship Type="http://schemas.openxmlformats.org/officeDocument/2006/relationships/hyperlink" Id="rId85" Target="18.pdf" TargetMode="External" /><Relationship Type="http://schemas.openxmlformats.org/officeDocument/2006/relationships/hyperlink" Id="rId89"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4" Target="http://epaper.stcn.com/paper/zqsb/html/epaper/index/content_619664.htm" TargetMode="External" /><Relationship Type="http://schemas.openxmlformats.org/officeDocument/2006/relationships/hyperlink" Id="rId64" Target="http://govfile.beijing.gov.cn/Govfile/front/content/12014029_0.html" TargetMode="External" /><Relationship Type="http://schemas.openxmlformats.org/officeDocument/2006/relationships/hyperlink" Id="rId73" Target="http://szs.mof.gov.cn/zhengwuxinxi/zhengcefabu/201410/t20141011_1148653.html" TargetMode="External" /><Relationship Type="http://schemas.openxmlformats.org/officeDocument/2006/relationships/hyperlink" Id="rId44" Target="http://szs.mof.gov.cn/zhengwuxinxi/zhengcefabu/201410/t20141011_1148669.html" TargetMode="External" /><Relationship Type="http://schemas.openxmlformats.org/officeDocument/2006/relationships/hyperlink" Id="rId47" Target="http://szs.mof.gov.cn/zhengwuxinxi/zhengcefabu/201410/t20141011_1148671.html" TargetMode="External" /><Relationship Type="http://schemas.openxmlformats.org/officeDocument/2006/relationships/hyperlink" Id="rId21" Target="http://www.charltonslaw.com.cn/china-news-alerts-cn-issue-427/" TargetMode="External" /><Relationship Type="http://schemas.openxmlformats.org/officeDocument/2006/relationships/hyperlink" Id="rId37" Target="http://www.circ.gov.cn/web/site0/tab5168/info3929851.htm" TargetMode="External" /><Relationship Type="http://schemas.openxmlformats.org/officeDocument/2006/relationships/hyperlink" Id="rId40" Target="http://www.circ.gov.cn/web/site0/tab5168/info3930495.htm" TargetMode="External" /><Relationship Type="http://schemas.openxmlformats.org/officeDocument/2006/relationships/hyperlink" Id="rId60" Target="http://www.customs.gov.cn/publish/portal0/tab49564/info720982.htm" TargetMode="External" /><Relationship Type="http://schemas.openxmlformats.org/officeDocument/2006/relationships/hyperlink" Id="rId91" Target="http://www.customs.gov.cn/publish/portal0/tab49660/info720845.htm" TargetMode="External" /><Relationship Type="http://schemas.openxmlformats.org/officeDocument/2006/relationships/hyperlink" Id="rId80" Target="http://www.gov.cn/xinwen/2014-10/10/content_2762433.htm" TargetMode="External" /><Relationship Type="http://schemas.openxmlformats.org/officeDocument/2006/relationships/hyperlink" Id="rId88" Target="http://www.gov.cn/zhengce/content/2014-10/14/content_9144.htm" TargetMode="External" /><Relationship Type="http://schemas.openxmlformats.org/officeDocument/2006/relationships/hyperlink" Id="rId67" Target="http://www.moc.gov.cn/zfxxgk/bnssj/aqjds/201410/t20141014_1707965.html" TargetMode="External" /><Relationship Type="http://schemas.openxmlformats.org/officeDocument/2006/relationships/hyperlink" Id="rId57" Target="http://www.mofcom.gov.cn/article/b/e/201410/20141000759139.shtml" TargetMode="External" /><Relationship Type="http://schemas.openxmlformats.org/officeDocument/2006/relationships/hyperlink" Id="rId76" Target="http://www.mohurd.gov.cn/zcfg/jsbwj_0/jsbwjbzde/201410/t20141010_219253.html" TargetMode="External" /><Relationship Type="http://schemas.openxmlformats.org/officeDocument/2006/relationships/hyperlink" Id="rId70" Target="http://www.saic.gov.cn/zwgk/zyfb/lhfw/lhfw/scgfgls/201410/t20141011_148932.html" TargetMode="External" /><Relationship Type="http://schemas.openxmlformats.org/officeDocument/2006/relationships/hyperlink" Id="rId31" Target="http://www.sse.com.cn/lawandrules/sserules/trading/bond/c/c_20141016_3848225.shtml" TargetMode="External" /><Relationship Type="http://schemas.openxmlformats.org/officeDocument/2006/relationships/hyperlink" Id="rId28" Target="http://www.szse.cn/main/disclosure/bsgg_front/39753019.shtml" TargetMode="External" /><Relationship Type="http://schemas.openxmlformats.org/officeDocument/2006/relationships/hyperlink" Id="rId25" Target="http://www.szse.cn/main/disclosure/bsgg_front/39753063.shtml" TargetMode="External" /><Relationship Type="http://schemas.openxmlformats.org/officeDocument/2006/relationships/hyperlink" Id="rId33" Target="http://www.szse.cn/main/disclosure/bsgg_front/39753073.shtml" TargetMode="External" /><Relationship Type="http://schemas.openxmlformats.org/officeDocument/2006/relationships/hyperlink" Id="rId53" Target="http://wz.nxgs.gov.cn/info/1049/4608.htm" TargetMode="External" /><Relationship Type="http://schemas.openxmlformats.org/officeDocument/2006/relationships/hyperlink" Id="rId50" Target="http://wz.nxgs.gov.cn/info/1049/4609.htm" TargetMode="External" /><Relationship Type="http://schemas.openxmlformats.org/officeDocument/2006/relationships/hyperlink" Id="rId9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第427期 - 2014年10月17日</dc:title>
  <dc:creator/>
</cp:coreProperties>
</file>