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第431期</w:t>
      </w:r>
      <w:r>
        <w:t xml:space="preserve"> </w:t>
      </w:r>
      <w:r>
        <w:t xml:space="preserve">-</w:t>
      </w:r>
      <w:r>
        <w:t xml:space="preserve"> </w:t>
      </w:r>
      <w:r>
        <w:t xml:space="preserve">2014年11月14日</w:t>
      </w:r>
    </w:p>
    <w:p>
      <w:hyperlink r:id="rId21">
        <w:r>
          <w:rPr>
            <w:rStyle w:val="Link"/>
          </w:rPr>
          <w:t xml:space="preserve">网络版</w:t>
        </w:r>
      </w:hyperlink>
    </w:p>
    <w:p>
      <w:pPr>
        <w:pStyle w:val="Heading1"/>
      </w:pPr>
      <w:bookmarkStart w:id="22" w:name="法讯中国第431期"/>
      <w:bookmarkEnd w:id="22"/>
      <w:r>
        <w:t xml:space="preserve">法讯中国第431期</w:t>
      </w:r>
    </w:p>
    <w:p>
      <w:pPr>
        <w:pStyle w:val="Heading2"/>
      </w:pPr>
      <w:bookmarkStart w:id="23" w:name="资本市场"/>
      <w:bookmarkEnd w:id="23"/>
      <w:r>
        <w:t xml:space="preserve">资本市场</w:t>
      </w:r>
    </w:p>
    <w:p>
      <w:pPr>
        <w:pStyle w:val="Heading3"/>
      </w:pPr>
      <w:bookmarkStart w:id="24" w:name="央行发文允许非金融机构合格投资人进入银行间债券市场"/>
      <w:bookmarkEnd w:id="24"/>
      <w:r>
        <w:t xml:space="preserve">央行发文允许非金融机构合格投资人进入银行间债券市场</w:t>
      </w:r>
    </w:p>
    <w:p>
      <w:r>
        <w:t xml:space="preserve">日前，中国人民银行金融市场司发布《关于非金融机构合格投资人进入银行间债券市场有关事项的通知》(以下简称《通知》)。</w:t>
      </w:r>
    </w:p>
    <w:p>
      <w:r>
        <w:t xml:space="preserve">《通知》明确，非金融机构合格投资人可通过非金融机构合格投资人交易平台进行债券投资交易。同时，非金融机构合格投资人进入银行间债券市场进行交易前应向中国银行间市场交易商协会备案。</w:t>
      </w:r>
    </w:p>
    <w:p>
      <w:r>
        <w:t xml:space="preserve">《通知》要求，非金融机构合格投资人应符合以下条件：依法成立的法人机构或合伙企业等组织，业务经营合法合规，持续经营不少于一年；净资产不低于3000万元；具备相应的债券投资业务制度及岗位，所配备工作人员应参加中国银行间市场交易商协会及银行间市场口介机构组织的相关培训并获得相应的资格证书；最近一年未发生违法和重大违规行为；中国人民银行要求的其他条件。</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结算明确结算银行开展港股通跨境资金结算业务有关事项"/>
      <w:bookmarkEnd w:id="27"/>
      <w:r>
        <w:t xml:space="preserve">中国结算明确结算银行开展港股通跨境资金结算业务有关事项</w:t>
      </w:r>
    </w:p>
    <w:p>
      <w:r>
        <w:t xml:space="preserve">11月10日，中国证券登记结算有限责任公司发布《关于结算银行开展港股通跨境资金结算业务有关事项的通知》（以下简称《通知》）。</w:t>
      </w:r>
    </w:p>
    <w:p>
      <w:r>
        <w:t xml:space="preserve">《通知》将港股通跨境资金结算业务分为两类：一是交易、非交易类资金及相关税费的换汇与资金划付业务；二是与香港中央结算有限公司进行的交易及风控等业务的资金交收。</w:t>
      </w:r>
    </w:p>
    <w:p>
      <w:r>
        <w:t xml:space="preserve">《通知》明确，结算银行须经中国结算批准获得港股通跨境资金结算业务资格后，方能开展相关业务。中国结算授权其上海分公司进行港股通跨境资金结算业务日常管理。港股通结算银行上海、香港分支机构须与中国结算上海分公司就港股通换汇、资金划拨等跨境资金结算业务签订相关业务备忘。</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交所加强沪港通业务中上海证券交易所上市公司信息披露工作"/>
      <w:bookmarkEnd w:id="30"/>
      <w:r>
        <w:t xml:space="preserve">上交所加强沪港通业务中上海证券交易所上市公司信息披露工作</w:t>
      </w:r>
    </w:p>
    <w:p>
      <w:r>
        <w:t xml:space="preserve">11月10日，上海证券交易所发布《关于加强沪港通业务中上海证券交易所上市公司信息披露工作及相关事项的通知》（以下简称《通知》），自沪港通试点启动之日起施行。</w:t>
      </w:r>
    </w:p>
    <w:p>
      <w:r>
        <w:t xml:space="preserve">《通知》强调，沪股通公司和相关信息披露义务人应当同时向境内外所有投资者公开披露重大信息，确保所有投资者可以平等地获取同一信息，不得向单个或部分投资者透露或泄漏。此外，沪股通公司应当充分保障境内外股东的决策参与、利润分配等股东权利。在召开股东大会时，沪股通公司应当考虑境内外股东现场出席的便利性，在召开现场会议的同时为境内外股东提供网络投票，并明确股东参与网络投票的方式及其他相关事项。</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交所发布香港中央结算有限公司参与沪股通上市公司网络投票实施指引"/>
      <w:bookmarkEnd w:id="33"/>
      <w:r>
        <w:t xml:space="preserve">上交所发布《香港中央结算有限公司参与沪股通上市公司网络投票实施指引》</w:t>
      </w:r>
    </w:p>
    <w:p>
      <w:r>
        <w:t xml:space="preserve">11月10日，上海证券交易所发布《香港中央结算有限公司参与沪股通上市公司网络投票实施指引》（以下简称《指引》），自沪港通试点启动之日起施行。</w:t>
      </w:r>
    </w:p>
    <w:p>
      <w:r>
        <w:t xml:space="preserve">香港结算作为股票名义持有人参加沪股通上市公司股东大会网络投票的，适用该《指引》。根据《指引》，香港结算按照本指引参加沪股通上市公司股东大会网络投票的，应当征集沪股通投资者的意见，并按照所征集的沪股通投资者对每一议案的不同意见逐一进行投票。此外，香港结算参加沪股通上市公司股东大会网络投票的，单次投票的表决权股份数可以超过1亿股(含)。</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两部门明确沪港股票市场交易互联互通机制试点有关问题"/>
      <w:bookmarkEnd w:id="36"/>
      <w:r>
        <w:t xml:space="preserve">两部门明确沪港股票市场交易互联互通机制试点有关问题</w:t>
      </w:r>
    </w:p>
    <w:p>
      <w:r>
        <w:t xml:space="preserve">日前，中国人民银行、中国证券监督管理委员会联合发布《关于沪港股票市场交易互联互通机制试点有关问题的通知》（以下简称《通知》）。</w:t>
      </w:r>
    </w:p>
    <w:p>
      <w:r>
        <w:t xml:space="preserve">《通知》明确了香港中央结算公司开立人民币沪股通专用存款账户收支范围。《通知》规定，香港中央结算公司所开立人民币沪股通专用存款账户的利率，按照中国人民银行有关规定执行。</w:t>
      </w:r>
    </w:p>
    <w:p>
      <w:r>
        <w:t xml:space="preserve">根据《通知》，中国证券登记结算有限责任公司可按有关规定在香港的银行开立港股通银行结算账户，专门用于港股通相关业务资金往来。同时，中国证券登记结算有限责任公司或其分公司可在境内银行开立人民币港股通专用存款账户，专门用于港股通业务相关业务资金往来。</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两地证监会批准沪港通试点启动"/>
      <w:bookmarkEnd w:id="39"/>
      <w:r>
        <w:t xml:space="preserve">两地证监会批准沪港通试点启动</w:t>
      </w:r>
    </w:p>
    <w:p>
      <w:r>
        <w:t xml:space="preserve">11月10日，中国证券监督管理委员会、香港证券及期货事务监察委员会联合发布公告，批准上海证券交易所、香港联合交易所有限公司、中国证券登记结算有限责任公司、香港中央结算有限公司正式启动沪港股票交易互联互通机制试点（以下简称沪港通）。沪港通下的股票交易将于2014年11月17日开始。</w:t>
      </w:r>
    </w:p>
    <w:p>
      <w:r>
        <w:t xml:space="preserve">公告明确，两地交易所、证券交易服务公司及登记结算机构应当依法履行沪港通各项职责，组织市场各方有序开展沪港通业务。投资者应当充分了解两地市场法律法规、业务规则和实践操作的差异，审慎评估和控制风险，理性开展沪港通相关投资。</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香港取消人民币兑换上限助力沪港通"/>
      <w:bookmarkEnd w:id="42"/>
      <w:r>
        <w:t xml:space="preserve">香港取消人民币兑换上限助力沪港通</w:t>
      </w:r>
    </w:p>
    <w:p>
      <w:r>
        <w:t xml:space="preserve">为了配合沪港通业务17日开通，香港金管局11月12日宣布，香港居民目前兑换人民币每日2万元的上限也将从17日起取消。香港金管局总裁陈德霖表示，此举将令港人日后参与沪港通及金融产品交易变得更为方便。</w:t>
      </w:r>
    </w:p>
    <w:p>
      <w:r>
        <w:t xml:space="preserve">陈德霖表示，由于在港银行业为香港个人客户兑换人民币时，将由目前的在岸平盘改为离岸平盘，因此取消上述兑换限制，同时，银行业也将可以向个人客户提供人民币贷款。不过，香港金管局同时宣布，港人每日最多只可汇款8万元人民币到内地的限制会维持。</w:t>
      </w:r>
    </w:p>
    <w:p>
      <w:r>
        <w:t xml:space="preserve">陈德霖透露，目前香港离岸人民币市场资金池规模已超过一万亿元，市场具有相当的深度及规模，他相信香港银行业有能力处理兑换。</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上交所a股已具备恢复t0条件"/>
      <w:bookmarkEnd w:id="45"/>
      <w:r>
        <w:t xml:space="preserve">上交所：A股已具备恢复T+0条件</w:t>
      </w:r>
    </w:p>
    <w:p>
      <w:r>
        <w:t xml:space="preserve">上交所日前通过官方微博召开沪港通网络新闻发布会称，沪港通的推出无疑将加快内地市场在回转交易（也被广泛称为T+0）领域的探索。经过20年的发展，我国股票市场发生了根本性变化，已经具备了恢复T+0的条件。</w:t>
      </w:r>
    </w:p>
    <w:p>
      <w:r>
        <w:t xml:space="preserve">目前，从交易机制差异来看，沪港市场最为明显的区别是股票T+0交易制度。香港市场实行T+0交易、无涨跌幅限制等与国际成熟市场接轨的一套交易机制。从国际经验来看，T+0能活跃市场，提高流动性，显著地提升市场定价效率。我国沪深证券交易所在发展初期曾实施过T+0交易制度。由于当时股票市场各方面条件不成熟，市场过度投机现象比较严重，监管层决定在1995年开始取消股票的T+0交易，改为T+1交易，一直延续至今。</w:t>
      </w:r>
    </w:p>
    <w:p>
      <w:r>
        <w:t xml:space="preserve">上交所表示，沪港通开通后，投资者的需求将对完善内地证券市场交易机制形成推动作用。上交所会配合监管部门积极推进对现有T+1交易制度的研究评估，在防控风险的基础上开展试点。</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税收"/>
      <w:bookmarkEnd w:id="48"/>
      <w:r>
        <w:t xml:space="preserve">税收</w:t>
      </w:r>
    </w:p>
    <w:p>
      <w:pPr>
        <w:pStyle w:val="Heading3"/>
      </w:pPr>
      <w:bookmarkStart w:id="49" w:name="五部门完善技术先进型服务企业有关企业所得税政策"/>
      <w:bookmarkEnd w:id="49"/>
      <w:r>
        <w:t xml:space="preserve">五部门完善技术先进型服务企业有关企业所得税政策</w:t>
      </w:r>
    </w:p>
    <w:p>
      <w:r>
        <w:t xml:space="preserve">近日，财政部、国税总局等五部门联合下发《关于完善技术先进型服务企业有关企业所得税政策问题的通知》（下称《通知》）。</w:t>
      </w:r>
    </w:p>
    <w:p>
      <w:r>
        <w:t xml:space="preserve">《通知》规定，自2014年1月1日起至2018年12月31日止，在北京、天津、上海、重庆、大连、深圳等21个中国服务外包示范城市实行企业所得税优惠政策：对经认定的技术先进型服务企业，按15%的税率征收企业所得税；经认定的技术先进型服务企业发生的职工教育经费支出，不超过工资薪金总额8%的部分，准予在计算应纳税所得额时扣除；超过部分，准予在以后纳税年度结转扣除。此外，《通知》明确，享受上述优惠政策的企业从事离岸服务外包业务取得的收入不低于企业当年总收入的35%。</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国税总局修订资源税纳税申报表"/>
      <w:bookmarkEnd w:id="52"/>
      <w:r>
        <w:t xml:space="preserve">国税总局修订《资源税纳税申报表》</w:t>
      </w:r>
    </w:p>
    <w:p>
      <w:r>
        <w:t xml:space="preserve">煤炭资源税自2014年12月1日起实行从价计征，并采用了折算率方法来计征洗选煤的应纳资源税额。为适应税制改革，近日，国家税务总局统一修订了《资源税纳税申报表》，形成了《资源税纳税申报表》（一）、（二），现予以发布，自2014年12月1日起施行。</w:t>
      </w:r>
    </w:p>
    <w:p>
      <w:r>
        <w:t xml:space="preserve">其中，《资源税纳税申报表》（一）适用于按从价定率办法计算应纳税额的纳税人。2014年12月1日后销售的洗选煤，其所用原煤如果此前已按从量定额办法缴纳了资源税，这部分已缴税款可在其应纳税额中抵扣。此外，《资源税纳税申报表》（二）适用于按从量定额办法计算应纳税额的纳税人。</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行业"/>
      <w:bookmarkEnd w:id="55"/>
      <w:r>
        <w:t xml:space="preserve">行业</w:t>
      </w:r>
    </w:p>
    <w:p>
      <w:pPr>
        <w:pStyle w:val="Heading3"/>
      </w:pPr>
      <w:bookmarkStart w:id="56" w:name="建筑业企业资质标准出台"/>
      <w:bookmarkEnd w:id="56"/>
      <w:r>
        <w:t xml:space="preserve">《建筑业企业资质标准》出台</w:t>
      </w:r>
    </w:p>
    <w:p>
      <w:r>
        <w:t xml:space="preserve">11月6日，住房城乡建设部印发《建筑业企业资质标准》。新标准自2015年1月1日起施行，原《建筑业企业资质等级标准》（建建[2001]82号）同时废止。</w:t>
      </w:r>
    </w:p>
    <w:p>
      <w:r>
        <w:t xml:space="preserve">根据新标准，建筑业企业资质分为施工总承包、专业承包和施工劳务三个序列。其中，施工总承包序列设有12个类别，一般分为四个等级（特级、一级、二级、三级）；专业承包序列设有36个类别，一般分为3个等级（一级、二级、三级）；施工劳务序列不分类别和等级。新标准就建筑业企业资质各个序列、类别和等级的资质标准分别作出了明确。</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上海放宽普通住房认定标准"/>
      <w:bookmarkEnd w:id="59"/>
      <w:r>
        <w:t xml:space="preserve">上海放宽普通住房认定标准</w:t>
      </w:r>
    </w:p>
    <w:p>
      <w:r>
        <w:t xml:space="preserve">11月13日，上海市房管局等四部门出台《关于调整本市普通住房标准的通知》，自11月20日起实行新规。业内人士认为，新标准将使更多的购房者享受到房贷新政的福利，进一步消化上海的住房库存。</w:t>
      </w:r>
    </w:p>
    <w:p>
      <w:r>
        <w:t xml:space="preserve">根据《通知》，可以享受优惠政策的普通住房应同时满足三个条件：1、房屋需为五层以上（含五层）的多高层住房，以及不足五层的老式公寓、新式里弄、旧式里弄等；2、单套建筑面积在140平方米以下；3、实际成交价格：低于同级别土地上住房平均交易价格1.44倍以下，坐落于内环线以内的低于450万元/套，内环线与外环线之间的低于310万元/套，外环线以外的低于230万元/套。</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wto"/>
      <w:bookmarkEnd w:id="62"/>
      <w:r>
        <w:t xml:space="preserve">WTO</w:t>
      </w:r>
    </w:p>
    <w:p>
      <w:pPr>
        <w:pStyle w:val="Heading3"/>
      </w:pPr>
      <w:bookmarkStart w:id="63" w:name="中韩自贸区实质性谈判结束"/>
      <w:bookmarkEnd w:id="63"/>
      <w:r>
        <w:t xml:space="preserve">中韩自贸区实质性谈判结束</w:t>
      </w:r>
    </w:p>
    <w:p>
      <w:r>
        <w:t xml:space="preserve">中国与韩国领导人11月10日表示，中韩自贸区结束实质性谈判。根据协议，两个贸易大国间将消除或大幅减少贸易和投资壁垒。分析人士指出，作为未来中国参与的亚太多边化区域贸易平台的基石，中韩自贸区具有重要意义。</w:t>
      </w:r>
    </w:p>
    <w:p>
      <w:r>
        <w:t xml:space="preserve">中韩自贸区谈判于2012年5月启动，是中国迄今为止对外商谈的覆盖领域最广、涉及国别贸易额最大的自贸区。根据谈判成果，在开放水平方面，双方货物贸易自由化比例均超过“税目90%、贸易额85%”。</w:t>
      </w:r>
    </w:p>
    <w:p>
      <w:r>
        <w:t xml:space="preserve">根据11月10日公布的谈判成果， 协定范围涵盖货物贸易、服务贸易、投资和规则共17个领域，包含了电子商务、竞争政策、政府采购、环境等“21世纪经贸议题”。同时，双方承诺在协定签署后将以负面清单模式继续开展服务贸易谈判，并基于准入前国民待遇和负面清单模式开展投资谈判。中韩自贸区谈判实现了“利益大体平衡、全面、高水平”的目标。</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中美突破it贸易协议僵局-利好双边投资协定谈判"/>
      <w:bookmarkEnd w:id="66"/>
      <w:r>
        <w:t xml:space="preserve">中美突破IT贸易协议僵局 利好双边投资协定谈判</w:t>
      </w:r>
    </w:p>
    <w:p>
      <w:r>
        <w:t xml:space="preserve">中美两国在北京APEC会议期间就WTO框架下进行的IT产品贸易协议谈判取得突破性的理解和共识。这是双方本周达成的包括签证便利、气候变化在内的数项务实成果之一，得到了世贸组织和商界的热烈欢迎。中方所展现出来的灵活性，也将有利于中美双边投资协议的谈判。</w:t>
      </w:r>
    </w:p>
    <w:p>
      <w:r>
        <w:t xml:space="preserve">中国外交部11月12日发布的官方消息称，中国国家主席习近平与美国总统奥巴马当天上午举行正式双边会谈，双方积极评价两国就信息技术协定扩围谈判达成一致。</w:t>
      </w:r>
    </w:p>
    <w:p>
      <w:r>
        <w:t xml:space="preserve">美国总统奥巴马在11月11日周二的APEC会议上宣布说，美国与中国就《信息技术协议》（ITA）的扩容谈判达成了“理解”，希望这将会有助于在日内瓦快速完成更广泛的谈判。</w:t>
      </w:r>
    </w:p>
    <w:p>
      <w:r>
        <w:t xml:space="preserve">由80个世贸组织成员参加的《信息技术协议》（ITA）是在1996年达成的IT产品关税削减诸边协议，覆盖97%的全球IT产品贸易。18年后，此协议所覆盖的产品范围，已经无法适应今时全球蓬勃发展的IT产品和贸易自由化的需求。</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中国出资-400亿美元成立丝路基金"/>
      <w:bookmarkEnd w:id="69"/>
      <w:r>
        <w:t xml:space="preserve">中国出资 400亿美元成立丝路基金</w:t>
      </w:r>
    </w:p>
    <w:p>
      <w:r>
        <w:t xml:space="preserve">11月8日，加强互联互通伙伴关系对话会在北京钓鱼台国宾馆举行。习近平主持会议并发表题为《联通引领发展 伙伴聚焦合作》的重要讲话，强调要以亚洲国家为重点方向，以经济走廊为依托，以交通基础设施为突破，以建设融资平台为抓手，以人文交流为纽带，加强“一带一路”务实合作，深化亚洲国家互联互通伙伴关系，共建发展和命运共同体。</w:t>
      </w:r>
    </w:p>
    <w:p>
      <w:r>
        <w:t xml:space="preserve">习近平强调，共同建设丝绸之路经济带和21世纪海上丝绸之路与互联互通相融相近、相辅相成，如果将“一带一路”比喻为亚洲腾飞的两只翅膀，那么互联互通就是两只翅膀的血脉经络。</w:t>
      </w:r>
    </w:p>
    <w:p>
      <w:r>
        <w:t xml:space="preserve">习近平就此提出5点建议：第一，以亚洲国家为重点方向，率先实现亚洲互联互通。“一带一路”源于亚洲、依托亚洲、造福亚洲。中国愿通过互联互通为亚洲邻国提供更多公共产品，欢迎大家搭乘中国发展的列车。第二，以经济走廊为依托，建立亚洲互联互通的基本框架。“一带一路”兼顾各国需求，统筹陆海两大方向，涵盖面宽，包容性强，辐射作用大。第三，以交通基础设施为突破，实现亚洲互联互通的早期收获，优先部署中国同邻国的铁路、公路项目。第四，以建设融资平台为抓手，打破亚洲互联互通的瓶颈。我宣布，中国将出资400亿美元成立丝路基金。丝路基金是开放的，欢迎亚洲域内外的投资者积极参与。第五，以人文交流为纽带，夯实亚洲互联互通的社会根基。未来5年，中国将为周边国家提供两万个互联互通领域培训名额。</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并购"/>
      <w:bookmarkEnd w:id="72"/>
      <w:r>
        <w:t xml:space="preserve">并购</w:t>
      </w:r>
    </w:p>
    <w:p>
      <w:pPr>
        <w:pStyle w:val="Heading3"/>
      </w:pPr>
      <w:bookmarkStart w:id="73" w:name="雅虎6.4亿美元收购视频广告服务商"/>
      <w:bookmarkEnd w:id="73"/>
      <w:r>
        <w:t xml:space="preserve">雅虎6.4亿美元收购视频广告服务商</w:t>
      </w:r>
    </w:p>
    <w:p>
      <w:r>
        <w:t xml:space="preserve">雅虎公司将以约6.4亿美元收购视频广告服务商BrightRoll，以加强向营销方销售实时竞价视频广告的能力。此次交易预计将于2015年第一季度完成，以现金方式支付。</w:t>
      </w:r>
    </w:p>
    <w:p>
      <w:r>
        <w:t xml:space="preserve">在雅虎首席执行官梅耶尔为公司制定的转型战略中，视频和移动广告业务起着非常关键的作用，此次交易更可证明雅虎对视频广告的重视。有分析人士表示，雅虎希望可以借助视频广告抵消互联网广告价格下降和增长放缓的影响。雅虎也在声明中表示，BrightRoll预计在今年为雅虎带来超过1亿美元的营收，并帮助雅虎拥有美国最大的视频广告平台。</w:t>
      </w:r>
    </w:p>
    <w:p>
      <w:r>
        <w:t xml:space="preserve">目前，全球网络视频广告市场正快速增长。根据市场研究公司eMarketer的数据，预计到2014年底，美国网络视频广告市场的规模将达到60亿美元，比去年同期增长56%。</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仟源制药收购恩氏基因"/>
      <w:bookmarkEnd w:id="76"/>
      <w:r>
        <w:t xml:space="preserve">仟源制药收购恩氏基因</w:t>
      </w:r>
    </w:p>
    <w:p>
      <w:r>
        <w:t xml:space="preserve">仟源制药日前公告，拟出资1亿元收购恩氏基因80%股权。恩氏基因股东全部权益的估值为1.26亿元，较账面净资产增值1.07亿元，增值率为582.26%。</w:t>
      </w:r>
    </w:p>
    <w:p>
      <w:r>
        <w:t xml:space="preserve">恩氏基因是一家以基因制备技术和人体环境检测技术为核心，以孕环境检测和婴儿基因保存为主营业务的科技型企业。2013年公司营业收入2994.99万元，净利润748.84万元。</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9">
        <w:r>
          <w:rPr>
            <w:rStyle w:val="Link"/>
          </w:rPr>
          <w:t xml:space="preserve">unsubscribe@charltonslaw.com</w:t>
        </w:r>
      </w:hyperlink>
    </w:p>
    <w:p>
      <w:r>
        <w:rPr>
          <w:b/>
        </w:rPr>
        <w:t xml:space="preserve">易周律师行 - 法讯 - 中国 - 第431期 - 2014年11月14日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508ae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64" Target="http://epaper.stcn.com/paper/zqsb/html/2014-11/11/content_628737.htm" TargetMode="External" /><Relationship Type="http://schemas.openxmlformats.org/officeDocument/2006/relationships/hyperlink" Id="rId77" Target="http://epaper.stcn.com/paper/zqsb/html/epaper/index/content_629441.htm" TargetMode="External" /><Relationship Type="http://schemas.openxmlformats.org/officeDocument/2006/relationships/hyperlink" Id="rId43" Target="http://epaper.stcn.com/paper/zqsb/html/epaper/index/content_629443.htm" TargetMode="External" /><Relationship Type="http://schemas.openxmlformats.org/officeDocument/2006/relationships/hyperlink" Id="rId74" Target="http://epaper.stcn.com/paper/zqsb/html/epaper/index/content_629447.htm" TargetMode="External" /><Relationship Type="http://schemas.openxmlformats.org/officeDocument/2006/relationships/hyperlink" Id="rId60" Target="http://epaper.stcn.com/paper/zqsb/html/epaper/index/content_629887.htm" TargetMode="External" /><Relationship Type="http://schemas.openxmlformats.org/officeDocument/2006/relationships/hyperlink" Id="rId46" Target="http://finance.qq.com/a/20141113/100390.htm" TargetMode="External" /><Relationship Type="http://schemas.openxmlformats.org/officeDocument/2006/relationships/hyperlink" Id="rId67" Target="http://jingji.21cbh.com/2014/11-13/zOMDA2NTFfMTMzODkzOA.html" TargetMode="External" /><Relationship Type="http://schemas.openxmlformats.org/officeDocument/2006/relationships/hyperlink" Id="rId70" Target="http://news.xinhuanet.com/world/2014-11/08/c_127192119.htm" TargetMode="External" /><Relationship Type="http://schemas.openxmlformats.org/officeDocument/2006/relationships/hyperlink" Id="rId21" Target="http://www.charltonslaw.com.cn/china-news-alerts-cn-issue-431/" TargetMode="External" /><Relationship Type="http://schemas.openxmlformats.org/officeDocument/2006/relationships/hyperlink" Id="rId28" Target="http://www.chinaclear.cn/zdjs/editor_file/20141110161513973.pdf" TargetMode="External" /><Relationship Type="http://schemas.openxmlformats.org/officeDocument/2006/relationships/hyperlink" Id="rId25" Target="http://www.chinamoney.com.cn/fe/Info/9555753" TargetMode="External" /><Relationship Type="http://schemas.openxmlformats.org/officeDocument/2006/relationships/hyperlink" Id="rId40" Target="http://www.csrc.gov.cn/pub/newsite/zjhxwfb/xwdd/201411/t20141110_263132.html" TargetMode="External" /><Relationship Type="http://schemas.openxmlformats.org/officeDocument/2006/relationships/hyperlink" Id="rId53" Target="http://www.gdltax.gov.cn/policy/jsp/content_show.jsp?contentID=1175383&amp;siteName=gd" TargetMode="External" /><Relationship Type="http://schemas.openxmlformats.org/officeDocument/2006/relationships/hyperlink" Id="rId57" Target="http://www.mohurd.gov.cn/zcfg/jsbwj_0/jsbwjjzsc/201411/t20141106_219511.html" TargetMode="External" /><Relationship Type="http://schemas.openxmlformats.org/officeDocument/2006/relationships/hyperlink" Id="rId37" Target="http://www.pbc.gov.cn/publish/goutongjiaoliu/524/2014/20141110111157981409115/20141110111157981409115_.html" TargetMode="External" /><Relationship Type="http://schemas.openxmlformats.org/officeDocument/2006/relationships/hyperlink" Id="rId34" Target="http://www.sse.com.cn/aboutus/hotandd/ssenews/c/c_20141110_3856911.shtml" TargetMode="External" /><Relationship Type="http://schemas.openxmlformats.org/officeDocument/2006/relationships/hyperlink" Id="rId31" Target="http://www.sse.com.cn/aboutus/hotandd/ssenews/c/c_20141110_3856913.shtml" TargetMode="External" /><Relationship Type="http://schemas.openxmlformats.org/officeDocument/2006/relationships/hyperlink" Id="rId50" Target="http://www.stcsm.gov.cn/gk/zcfg/gfxwz/gjbwxgwj/338854.htm" TargetMode="External" /><Relationship Type="http://schemas.openxmlformats.org/officeDocument/2006/relationships/hyperlink" Id="rId7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64" Target="http://epaper.stcn.com/paper/zqsb/html/2014-11/11/content_628737.htm" TargetMode="External" /><Relationship Type="http://schemas.openxmlformats.org/officeDocument/2006/relationships/hyperlink" Id="rId77" Target="http://epaper.stcn.com/paper/zqsb/html/epaper/index/content_629441.htm" TargetMode="External" /><Relationship Type="http://schemas.openxmlformats.org/officeDocument/2006/relationships/hyperlink" Id="rId43" Target="http://epaper.stcn.com/paper/zqsb/html/epaper/index/content_629443.htm" TargetMode="External" /><Relationship Type="http://schemas.openxmlformats.org/officeDocument/2006/relationships/hyperlink" Id="rId74" Target="http://epaper.stcn.com/paper/zqsb/html/epaper/index/content_629447.htm" TargetMode="External" /><Relationship Type="http://schemas.openxmlformats.org/officeDocument/2006/relationships/hyperlink" Id="rId60" Target="http://epaper.stcn.com/paper/zqsb/html/epaper/index/content_629887.htm" TargetMode="External" /><Relationship Type="http://schemas.openxmlformats.org/officeDocument/2006/relationships/hyperlink" Id="rId46" Target="http://finance.qq.com/a/20141113/100390.htm" TargetMode="External" /><Relationship Type="http://schemas.openxmlformats.org/officeDocument/2006/relationships/hyperlink" Id="rId67" Target="http://jingji.21cbh.com/2014/11-13/zOMDA2NTFfMTMzODkzOA.html" TargetMode="External" /><Relationship Type="http://schemas.openxmlformats.org/officeDocument/2006/relationships/hyperlink" Id="rId70" Target="http://news.xinhuanet.com/world/2014-11/08/c_127192119.htm" TargetMode="External" /><Relationship Type="http://schemas.openxmlformats.org/officeDocument/2006/relationships/hyperlink" Id="rId21" Target="http://www.charltonslaw.com.cn/china-news-alerts-cn-issue-431/" TargetMode="External" /><Relationship Type="http://schemas.openxmlformats.org/officeDocument/2006/relationships/hyperlink" Id="rId28" Target="http://www.chinaclear.cn/zdjs/editor_file/20141110161513973.pdf" TargetMode="External" /><Relationship Type="http://schemas.openxmlformats.org/officeDocument/2006/relationships/hyperlink" Id="rId25" Target="http://www.chinamoney.com.cn/fe/Info/9555753" TargetMode="External" /><Relationship Type="http://schemas.openxmlformats.org/officeDocument/2006/relationships/hyperlink" Id="rId40" Target="http://www.csrc.gov.cn/pub/newsite/zjhxwfb/xwdd/201411/t20141110_263132.html" TargetMode="External" /><Relationship Type="http://schemas.openxmlformats.org/officeDocument/2006/relationships/hyperlink" Id="rId53" Target="http://www.gdltax.gov.cn/policy/jsp/content_show.jsp?contentID=1175383&amp;siteName=gd" TargetMode="External" /><Relationship Type="http://schemas.openxmlformats.org/officeDocument/2006/relationships/hyperlink" Id="rId57" Target="http://www.mohurd.gov.cn/zcfg/jsbwj_0/jsbwjjzsc/201411/t20141106_219511.html" TargetMode="External" /><Relationship Type="http://schemas.openxmlformats.org/officeDocument/2006/relationships/hyperlink" Id="rId37" Target="http://www.pbc.gov.cn/publish/goutongjiaoliu/524/2014/20141110111157981409115/20141110111157981409115_.html" TargetMode="External" /><Relationship Type="http://schemas.openxmlformats.org/officeDocument/2006/relationships/hyperlink" Id="rId34" Target="http://www.sse.com.cn/aboutus/hotandd/ssenews/c/c_20141110_3856911.shtml" TargetMode="External" /><Relationship Type="http://schemas.openxmlformats.org/officeDocument/2006/relationships/hyperlink" Id="rId31" Target="http://www.sse.com.cn/aboutus/hotandd/ssenews/c/c_20141110_3856913.shtml" TargetMode="External" /><Relationship Type="http://schemas.openxmlformats.org/officeDocument/2006/relationships/hyperlink" Id="rId50" Target="http://www.stcsm.gov.cn/gk/zcfg/gfxwz/gjbwxgwj/338854.htm" TargetMode="External" /><Relationship Type="http://schemas.openxmlformats.org/officeDocument/2006/relationships/hyperlink" Id="rId7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第431期 - 2014年11月14日</dc:title>
  <dc:creator/>
</cp:coreProperties>
</file>