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第434期</w:t>
      </w:r>
      <w:r>
        <w:t xml:space="preserve"> </w:t>
      </w:r>
      <w:r>
        <w:t xml:space="preserve">-</w:t>
      </w:r>
      <w:r>
        <w:t xml:space="preserve"> </w:t>
      </w:r>
      <w:r>
        <w:t xml:space="preserve">2014年12月09日</w:t>
      </w:r>
    </w:p>
    <w:p>
      <w:hyperlink r:id="rId21">
        <w:r>
          <w:rPr>
            <w:rStyle w:val="Link"/>
          </w:rPr>
          <w:t xml:space="preserve">网络版</w:t>
        </w:r>
      </w:hyperlink>
    </w:p>
    <w:p>
      <w:pPr>
        <w:pStyle w:val="Heading1"/>
      </w:pPr>
      <w:bookmarkStart w:id="22" w:name="法讯中国第434期"/>
      <w:bookmarkEnd w:id="22"/>
      <w:r>
        <w:t xml:space="preserve">法讯中国第434期</w:t>
      </w:r>
    </w:p>
    <w:p>
      <w:pPr>
        <w:pStyle w:val="Heading2"/>
      </w:pPr>
      <w:bookmarkStart w:id="23" w:name="资本市场"/>
      <w:bookmarkEnd w:id="23"/>
      <w:r>
        <w:t xml:space="preserve">资本市场</w:t>
      </w:r>
    </w:p>
    <w:p>
      <w:pPr>
        <w:pStyle w:val="Heading3"/>
      </w:pPr>
      <w:bookmarkStart w:id="24" w:name="五部门印发金融资产管理公司监管办法"/>
      <w:bookmarkEnd w:id="24"/>
      <w:r>
        <w:t xml:space="preserve">五部门印发《金融资产管理公司监管办法》</w:t>
      </w:r>
    </w:p>
    <w:p>
      <w:r>
        <w:t xml:space="preserve">日前，中国银监会、财政部、中国人民银行、中国证监会、中国保监会联合印发《金融资产管理公司监管办法》（以下简称《办法》），自2015年1月1日起施行。</w:t>
      </w:r>
    </w:p>
    <w:p>
      <w:r>
        <w:t xml:space="preserve">《办法》对集团的资本监管分为单一机构监管、同业的并表监管及集团补充资本监管三个层次。其中，集团母公司及附属金融类法人机构应当分别满足各自监管机构的单一资本监管要求。集团母公司资本充足率不得低于12.5%。</w:t>
      </w:r>
    </w:p>
    <w:p>
      <w:r>
        <w:t xml:space="preserve">《办法》明确，集团母公司应当加强对附属法人机构的审慎管理。集团母公司对附属法人机构的持股比例超过20%低于50%，并获得实际控制权时，只有按比例分配的合格资本高于附属法人机构资本要求的超额部分才可用于弥补集团或集团母公司资本。</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财政部印发城镇保障性安居工程贷款贴息办法"/>
      <w:bookmarkEnd w:id="27"/>
      <w:r>
        <w:t xml:space="preserve">财政部印发《城镇保障性安居工程贷款贴息办法》</w:t>
      </w:r>
    </w:p>
    <w:p>
      <w:r>
        <w:t xml:space="preserve">日前，财政部印发《城镇保障性安居工程贷款贴息办法》（以下简称《办法》），自2015年1月1日起施行。</w:t>
      </w:r>
    </w:p>
    <w:p>
      <w:r>
        <w:t xml:space="preserve">《办法》所称城镇保障性安居工程贷款，是指城镇保障性安居工程项目实施单位从商业银行等各类金融机构获得，专项用于政府组织实施的城市棚户区改造项目和公共租赁住房购建、运营管理的贷款。</w:t>
      </w:r>
    </w:p>
    <w:p>
      <w:r>
        <w:t xml:space="preserve">《办法》就贴息资金来源和规模、贴息范围和期限、贴息申请和支付、贴息资金账务处理、贴息资金监督管理等作出了规定。《办法》明确，贴息率由项目所在地市县财政部门根据年度贴息资金预算安排和贴息资金需求等因素确定，贴息利率以中国人民银行公布的同期贷款基准利率为准，原则上不超过2个百分点。</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税收"/>
      <w:bookmarkEnd w:id="30"/>
      <w:r>
        <w:t xml:space="preserve">税收</w:t>
      </w:r>
    </w:p>
    <w:p>
      <w:pPr>
        <w:pStyle w:val="Heading3"/>
      </w:pPr>
      <w:bookmarkStart w:id="31" w:name="三部门发文继续实施支持文化企业发展税收政策"/>
      <w:bookmarkEnd w:id="31"/>
      <w:r>
        <w:t xml:space="preserve">三部门发文继续实施支持文化企业发展税收政策</w:t>
      </w:r>
    </w:p>
    <w:p>
      <w:r>
        <w:t xml:space="preserve">近日，财政部等三部门发布《关于继续实施支持文化企业发展若干税收政策的通知》（下称《通知》），执行期限为2014年1月1日至2018年12月31日。</w:t>
      </w:r>
    </w:p>
    <w:p>
      <w:r>
        <w:t xml:space="preserve">根据《通知》，电影集团公司（含成员企业）、电影制片厂及其他电影企业取得的销售电影拷贝（含数字拷贝）收入、转让电影版权（包括转让和许可使用）收入、电影发行收入以及在农村取得的电影放映收入免征增值税；为承担国家鼓励类文化产业项目而进口国内不能生产的自用设备及配套件、备件，在政策规定范围内，免征进口关税；对从事文化产业支撑技术等领域的文化企业，按规定认定为高新技术企业的，减按15%的税率征收企业所得税；开发新技术、新产品、新工艺发生的研究开发费用，允许按照税收法律法规的规定，在计算应纳税所得额时加计扣除。</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经营性文化事业单位转制为企业税收优惠政策发布"/>
      <w:bookmarkEnd w:id="34"/>
      <w:r>
        <w:t xml:space="preserve">经营性文化事业单位转制为企业税收优惠政策发布</w:t>
      </w:r>
    </w:p>
    <w:p>
      <w:r>
        <w:t xml:space="preserve">近日，财政部等三部门发布《关于继续实施文化体制改革中经营性文化事业单位转制为企业若干税收政策的通知》（下称《通知》），执行期限为2014年1月1日至2018年12月31日。</w:t>
      </w:r>
    </w:p>
    <w:p>
      <w:r>
        <w:t xml:space="preserve">《通知》明确，经营性文化事业单位转制为企业，自转制注册之日起免征企业所得税；由财政部门拨付事业经费的文化单位转制为企业，自转制注册之日起对其自用房产免征房产税；党报、党刊将其发行、印刷业务及相应的经营性资产剥离组建的文化企业，自注册之日起所取得的党报、党刊发行收入和印刷收入免征增值税。《通知》还明确了享受税收优惠政策的转制文化企业的条件。未经认定的转制文化企业或转制文化企业不符合本通知规定的，不得享受相关税收优惠政策。已享受优惠的，主管税务机关应追缴其已减免的税款。</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国税总局明确成品油消费税有关问题"/>
      <w:bookmarkEnd w:id="37"/>
      <w:r>
        <w:t xml:space="preserve">国税总局明确成品油消费税有关问题</w:t>
      </w:r>
    </w:p>
    <w:p>
      <w:r>
        <w:t xml:space="preserve">近日，国税总局发布《关于成品油消费税有关问题的公告》（下称《公告》），自2014年11月29日起施行。</w:t>
      </w:r>
    </w:p>
    <w:p>
      <w:r>
        <w:t xml:space="preserve">《公告》明确，纳税人外购应税油品连续生产应税成品油，其取得的外购应税油品增值税专用发票开具时间为2014年11月28日（含）以前的，按照调整前的成品油消费税税率计算扣除消费税；增值税专用发票开具时间为2014年11月29日（含）以后的，按照调整后的成品油消费税税率计算扣除消费税。《公告》强调，纳税人应当严格按规定建立成品油抵扣税款台账，作为申报扣除外购、进口和委托加工收回应税油品已纳消费税税款的备查资料。此外，《公告》对所属期为2014年11月的成品油消费税纳税申报做出了过渡性安排。</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两部门联合调整消费税政策"/>
      <w:bookmarkEnd w:id="40"/>
      <w:r>
        <w:t xml:space="preserve">两部门联合调整消费税政策</w:t>
      </w:r>
    </w:p>
    <w:p>
      <w:r>
        <w:t xml:space="preserve">11月25日，财政部、国税总局联合发布《关于调整消费税政策的通知》（下称《通知》），自2014年12月1日起执行。</w:t>
      </w:r>
    </w:p>
    <w:p>
      <w:r>
        <w:t xml:space="preserve">《通知》明确，取消气缸容量250毫升（不含）以下的小排量摩托车消费税，气缸容量250毫升和250毫升（不含）以上的摩托车继续分别按3%和10%的税率征收消费税；取消汽车轮胎税目；取消车用含铅汽油消费税，汽油税目不再划分二级子目，统一按照无铅汽油税率征收消费税；取消酒精消费税，“酒及酒精”品目相应改为“酒”，并继续按现行消费税政策执行。</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煤炭资源税从价计征全面施行"/>
      <w:bookmarkEnd w:id="43"/>
      <w:r>
        <w:t xml:space="preserve">煤炭资源税从价计征全面施行</w:t>
      </w:r>
    </w:p>
    <w:p>
      <w:r>
        <w:t xml:space="preserve">从12月1日起国内全面施行煤炭资源税由从量计征改为从价计征，税率由省级政府在规定幅度内确定。停止征收煤炭价格调节基金，取消原生矿产品生态补偿费、煤炭资源地方经济发展费等，取缔省以下地方政府违规设立的涉煤收费基金。</w:t>
      </w:r>
    </w:p>
    <w:p>
      <w:r>
        <w:t xml:space="preserve">2014年10月，财政部、国家发展改革委下发了《关于全面清理涉及煤炭原油天然气收费基金有关问题的通知》，自2014年12月1日起，将在全国范围统一将煤炭、原油、天然气矿产资源补偿费费率降为零，并停止征收煤炭、原油、天然气价格调节基金，还专门指出，山西省取消煤炭可持续发展基金。</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行业"/>
      <w:bookmarkEnd w:id="46"/>
      <w:r>
        <w:t xml:space="preserve">行业</w:t>
      </w:r>
    </w:p>
    <w:p>
      <w:pPr>
        <w:pStyle w:val="Heading3"/>
      </w:pPr>
      <w:bookmarkStart w:id="47" w:name="两部门鼓励外国投资者在华设立营利性养老机构"/>
      <w:bookmarkEnd w:id="47"/>
      <w:r>
        <w:t xml:space="preserve">两部门鼓励外国投资者在华设立营利性养老机构</w:t>
      </w:r>
    </w:p>
    <w:p>
      <w:r>
        <w:t xml:space="preserve">日前，商务部、民政部联合发布公告，就外国投资者在华设立营利性养老机构从事养老服务等有关事项作出了明确。</w:t>
      </w:r>
    </w:p>
    <w:p>
      <w:r>
        <w:t xml:space="preserve">公告明确，鼓励外国投资者在华独立或与中国公司、企业和其他经济组织合资、合作举办营利性养老机构。公告指出，鼓励外国投资者参与专门面向社会提供经营性服务的公办养老机构的企业化改制，改制过程中应妥善处理职工利益维护和国有资产保值增值等问题。外商投资营利性养老机构与国内资本投资举办的营利性养老机构享有同等的税收等优惠政策和行政事业性收费减免政策。</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并购"/>
      <w:bookmarkEnd w:id="50"/>
      <w:r>
        <w:t xml:space="preserve">并购</w:t>
      </w:r>
    </w:p>
    <w:p>
      <w:pPr>
        <w:pStyle w:val="Heading3"/>
      </w:pPr>
      <w:bookmarkStart w:id="51" w:name="复星医药8.45亿收购二叶制药"/>
      <w:bookmarkEnd w:id="51"/>
      <w:r>
        <w:t xml:space="preserve">复星医药8.45亿收购二叶制药</w:t>
      </w:r>
    </w:p>
    <w:p>
      <w:r>
        <w:t xml:space="preserve">复星医药12月5日宣布，公司将通过在大陆和香港的子公司，以人民币8.45亿元收购苏州二叶制药有限公司65%的股权，并可能在后续交易中以不超过人民币6.83亿元收购二叶制药其余35%的股权。</w:t>
      </w:r>
    </w:p>
    <w:p>
      <w:r>
        <w:t xml:space="preserve">公告称，复星医药全资子公司复星医药产业，首轮将以人民币3.94亿元受让苏州二叶经济贸易有限公司所持二叶制药35%的股权；同时，复星医药全资子公司复星实业（香港）有限公司将以人民币4.51亿元受让Shiningleaf Pharmaceutical Holdings Limited全资持有的Highacheive Holdings Limited（HHL）全部已发行股份，HHL目前持有二叶制药30%股权。公告同时称，在2020年1月的后续交易中，二叶经贸有权要求复星医药产业，受让其届时所持有的二叶制药剩余35%的股权。在上述一系列交易完成后，复星医药或将通过子公司持有二叶制药的100%股权。</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小南国斥1.5亿收购百佳香港65股权"/>
      <w:bookmarkEnd w:id="54"/>
      <w:r>
        <w:t xml:space="preserve">小南国斥1.5亿收购百佳香港65%股权</w:t>
      </w:r>
    </w:p>
    <w:p>
      <w:r>
        <w:t xml:space="preserve">11月27日消息，位于香港上市的中式餐饮集团小南国餐饮控股有限公司今日早间发布公告，将斥资1.95亿港元(折合人民币约1.543亿元)收购百佳(香港)有限公司(“Pokka HK”)65%股权。</w:t>
      </w:r>
    </w:p>
    <w:p>
      <w:r>
        <w:t xml:space="preserve">中报显示，2014上半年，小南国营收约7.43亿元，同比增长9.6%，净利润57.8万元，下降98.2%。去年是中高端餐饮市场最为动荡的一年，随着中央打击腐败和公款奢侈消费的政策，餐饮业受到大挫。这也是小南国实行多品牌策略，首次规模化涉水西式餐饮业务。</w:t>
      </w:r>
    </w:p>
    <w:p>
      <w:r>
        <w:t xml:space="preserve">百佳香港（Pokka HK）主营西餐和咖啡。其在香港和澳门拥有12个品牌共34家餐厅，其中包括Pokka Café等多个咖啡店品牌和意大利餐厅。以环境优雅服务周到而出名的Pokka Café和中高端餐饮定位的上海小南国气质接近。</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57">
        <w:r>
          <w:rPr>
            <w:rStyle w:val="Link"/>
          </w:rPr>
          <w:t xml:space="preserve">unsubscribe@charltonslaw.com</w:t>
        </w:r>
      </w:hyperlink>
    </w:p>
    <w:p>
      <w:r>
        <w:rPr>
          <w:b/>
        </w:rPr>
        <w:t xml:space="preserve">易周律师行 - 法讯 - 中国 - 第434期 - 2014年12月09日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d0249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44" Target="http://epaper.stcn.com/paper/zqsb/html/2014-12/03/content_634721.htm" TargetMode="External" /><Relationship Type="http://schemas.openxmlformats.org/officeDocument/2006/relationships/hyperlink" Id="rId52" Target="http://epaper.stcn.com/paper/zqsb/html/epaper/index/content_635137.htm" TargetMode="External" /><Relationship Type="http://schemas.openxmlformats.org/officeDocument/2006/relationships/hyperlink" Id="rId55" Target="http://finance.sina.com.cn/stock/hkstock/ggscyd/20141127/111520936278.shtml" TargetMode="External" /><Relationship Type="http://schemas.openxmlformats.org/officeDocument/2006/relationships/hyperlink" Id="rId41" Target="http://szs.mof.gov.cn/zhengwuxinxi/zhengcefabu/201411/t20141128_1161150.html" TargetMode="External" /><Relationship Type="http://schemas.openxmlformats.org/officeDocument/2006/relationships/hyperlink" Id="rId35" Target="http://szs.mof.gov.cn/zhengwuxinxi/zhengcefabu/201412/t20141201_1161306.html" TargetMode="External" /><Relationship Type="http://schemas.openxmlformats.org/officeDocument/2006/relationships/hyperlink" Id="rId32" Target="http://szs.mof.gov.cn/zhengwuxinxi/zhengcefabu/201412/t20141201_1161316.html" TargetMode="External" /><Relationship Type="http://schemas.openxmlformats.org/officeDocument/2006/relationships/hyperlink" Id="rId25" Target="http://www.cbrc.gov.cn/chinese/home/docDOC_ReadView/8F7447A0A8384C2796CBC76ED93D2A77.html" TargetMode="External" /><Relationship Type="http://schemas.openxmlformats.org/officeDocument/2006/relationships/hyperlink" Id="rId21" Target="http://www.charltonslaw.com.cn/china-news-alerts-cn-issue-434/" TargetMode="External" /><Relationship Type="http://schemas.openxmlformats.org/officeDocument/2006/relationships/hyperlink" Id="rId38" Target="http://www.chinatax.gov.cn/n810341/n810755/c1350768/content.html" TargetMode="External" /><Relationship Type="http://schemas.openxmlformats.org/officeDocument/2006/relationships/hyperlink" Id="rId48" Target="http://www.mca.gov.cn/article/zwgk/mzyw/201412/20141200736104.shtml" TargetMode="External" /><Relationship Type="http://schemas.openxmlformats.org/officeDocument/2006/relationships/hyperlink" Id="rId28" Target="http://zhs.mof.gov.cn/zhuantilanmu/zhufangguanli/201412/t20141201_1161382.html" TargetMode="External" /><Relationship Type="http://schemas.openxmlformats.org/officeDocument/2006/relationships/hyperlink" Id="rId5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44" Target="http://epaper.stcn.com/paper/zqsb/html/2014-12/03/content_634721.htm" TargetMode="External" /><Relationship Type="http://schemas.openxmlformats.org/officeDocument/2006/relationships/hyperlink" Id="rId52" Target="http://epaper.stcn.com/paper/zqsb/html/epaper/index/content_635137.htm" TargetMode="External" /><Relationship Type="http://schemas.openxmlformats.org/officeDocument/2006/relationships/hyperlink" Id="rId55" Target="http://finance.sina.com.cn/stock/hkstock/ggscyd/20141127/111520936278.shtml" TargetMode="External" /><Relationship Type="http://schemas.openxmlformats.org/officeDocument/2006/relationships/hyperlink" Id="rId41" Target="http://szs.mof.gov.cn/zhengwuxinxi/zhengcefabu/201411/t20141128_1161150.html" TargetMode="External" /><Relationship Type="http://schemas.openxmlformats.org/officeDocument/2006/relationships/hyperlink" Id="rId35" Target="http://szs.mof.gov.cn/zhengwuxinxi/zhengcefabu/201412/t20141201_1161306.html" TargetMode="External" /><Relationship Type="http://schemas.openxmlformats.org/officeDocument/2006/relationships/hyperlink" Id="rId32" Target="http://szs.mof.gov.cn/zhengwuxinxi/zhengcefabu/201412/t20141201_1161316.html" TargetMode="External" /><Relationship Type="http://schemas.openxmlformats.org/officeDocument/2006/relationships/hyperlink" Id="rId25" Target="http://www.cbrc.gov.cn/chinese/home/docDOC_ReadView/8F7447A0A8384C2796CBC76ED93D2A77.html" TargetMode="External" /><Relationship Type="http://schemas.openxmlformats.org/officeDocument/2006/relationships/hyperlink" Id="rId21" Target="http://www.charltonslaw.com.cn/china-news-alerts-cn-issue-434/" TargetMode="External" /><Relationship Type="http://schemas.openxmlformats.org/officeDocument/2006/relationships/hyperlink" Id="rId38" Target="http://www.chinatax.gov.cn/n810341/n810755/c1350768/content.html" TargetMode="External" /><Relationship Type="http://schemas.openxmlformats.org/officeDocument/2006/relationships/hyperlink" Id="rId48" Target="http://www.mca.gov.cn/article/zwgk/mzyw/201412/20141200736104.shtml" TargetMode="External" /><Relationship Type="http://schemas.openxmlformats.org/officeDocument/2006/relationships/hyperlink" Id="rId28" Target="http://zhs.mof.gov.cn/zhuantilanmu/zhufangguanli/201412/t20141201_1161382.html" TargetMode="External" /><Relationship Type="http://schemas.openxmlformats.org/officeDocument/2006/relationships/hyperlink" Id="rId5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第434期 - 2014年12月09日</dc:title>
  <dc:creator/>
</cp:coreProperties>
</file>