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第442期</w:t>
      </w:r>
      <w:r>
        <w:t xml:space="preserve"> </w:t>
      </w:r>
      <w:r>
        <w:t xml:space="preserve">-</w:t>
      </w:r>
      <w:r>
        <w:t xml:space="preserve"> </w:t>
      </w:r>
      <w:r>
        <w:t xml:space="preserve">2015年02月02日</w:t>
      </w:r>
    </w:p>
    <w:p>
      <w:hyperlink r:id="rId21">
        <w:r>
          <w:rPr>
            <w:rStyle w:val="Link"/>
          </w:rPr>
          <w:t xml:space="preserve">网络版</w:t>
        </w:r>
      </w:hyperlink>
    </w:p>
    <w:p>
      <w:pPr>
        <w:pStyle w:val="Heading1"/>
      </w:pPr>
      <w:bookmarkStart w:id="22" w:name="法讯中国第442期"/>
      <w:bookmarkEnd w:id="22"/>
      <w:r>
        <w:t xml:space="preserve">法讯中国第442期</w:t>
      </w:r>
    </w:p>
    <w:p>
      <w:pPr>
        <w:pStyle w:val="Heading2"/>
      </w:pPr>
      <w:bookmarkStart w:id="23" w:name="资本市场"/>
      <w:bookmarkEnd w:id="23"/>
      <w:r>
        <w:t xml:space="preserve">资本市场</w:t>
      </w:r>
    </w:p>
    <w:p>
      <w:pPr>
        <w:pStyle w:val="Heading3"/>
      </w:pPr>
      <w:bookmarkStart w:id="24" w:name="中国人民银行-中国保监会联合发布公告允许保险公司在全国银行间债券市场发行资本补充债券"/>
      <w:bookmarkEnd w:id="24"/>
      <w:r>
        <w:t xml:space="preserve">中国人民银行 中国保监会联合发布公告允许保险公司在全国银行间债券市场发行资本补充债券</w:t>
      </w:r>
    </w:p>
    <w:p>
      <w:r>
        <w:t xml:space="preserve">近日，中国人民银行与中国保监会联合发布2015年第3号公告，允许保险公司在全国银行间债券市场发行资本补充债券。</w:t>
      </w:r>
    </w:p>
    <w:p>
      <w:r>
        <w:t xml:space="preserve">根据公告，资本补充债券是指保险公司发行的用于补充资本，发行期限在五年以上（含五年），清偿顺序列于保单责任和其他普通负债之后，先于保险公司股权资本的债券。保险公司申请公开发行资本补充债券，应当符合下列要件：具有良好的公司治理机制；连续经营超过三年；上年未经审计和最近一季度财务报告中净资产不低于人民币10亿元；偿付能力充足率不低于100%；最近三年没有重大违法、违规行为；中国人民银行和中国保监会要求的其他条件。</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外汇局发文支持跨境电子商务发展"/>
      <w:bookmarkEnd w:id="27"/>
      <w:r>
        <w:t xml:space="preserve">外汇局发文支持跨境电子商务发展</w:t>
      </w:r>
    </w:p>
    <w:p>
      <w:r>
        <w:t xml:space="preserve">日前，国家外汇管理局发布《关于开展支付机构跨境外汇支付业务试点的通知》（以下简称《通知》），在全国范围内开展部分支付机构跨境外汇支付业务试点，允许支付机构为跨境电子商务交易双方提供外汇资金收付及结售汇服务。</w:t>
      </w:r>
    </w:p>
    <w:p>
      <w:r>
        <w:t xml:space="preserve">《通知》主要内容包括：一是提高单笔业务限额。网络购物单笔交易限额由等值1万美元提高至5万美元，放宽支付机构开立外汇备付金账户户数的限制。二是规范试点流程。支付机构要取得试点资格，应先行到注册地外汇局办理“贸易外汇收支企业名录”登记。三是严格风险管理。要求支付机构严格履行交易真实性审核职责，留存相关信息5年备查，并及时准确报送相关业务数据和信息。</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期权合约结算价格计算方法公布"/>
      <w:bookmarkEnd w:id="30"/>
      <w:r>
        <w:t xml:space="preserve">期权合约结算价格计算方法公布</w:t>
      </w:r>
    </w:p>
    <w:p>
      <w:r>
        <w:t xml:space="preserve">1月28日，上海证券交易所、中国证券登记结算有限责任公司联合发布《关于期权合约结算价格计算方法的通知》（以下简称《通知》），自发布之日起施行。</w:t>
      </w:r>
    </w:p>
    <w:p>
      <w:r>
        <w:t xml:space="preserve">《通知》明确，除《通知》另有规定外，期权合约的结算价格为该合约当日收盘集合竞价的成交价格。同时，期权合约当日收盘集合竞价未形成成交价格，且收盘前8分钟内的连续竞价阶段没有成交，但收盘时同时存在最优买价和最优卖价的，结算价格为该最优买价和最优卖价的中间值。</w:t>
      </w:r>
    </w:p>
    <w:p>
      <w:r>
        <w:t xml:space="preserve">根据《通知》计算的结算价格，按照四舍五入原则取期权合约最小价格变动单位的整数倍。此外，上交所及中国结算可以根据市场情况，对结算价格的计算方法进行调整，并向市场公告。</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保险"/>
      <w:bookmarkEnd w:id="33"/>
      <w:r>
        <w:t xml:space="preserve">保险</w:t>
      </w:r>
    </w:p>
    <w:p>
      <w:pPr>
        <w:pStyle w:val="Heading3"/>
      </w:pPr>
      <w:bookmarkStart w:id="34" w:name="五部门联合发文发展信用保证保险以服务和支持小微企业"/>
      <w:bookmarkEnd w:id="34"/>
      <w:r>
        <w:t xml:space="preserve">五部门联合发文发展信用保证保险以服务和支持小微企业</w:t>
      </w:r>
    </w:p>
    <w:p>
      <w:r>
        <w:t xml:space="preserve">日前，保监会、工业和信息化部、商务部、人民银行、银监会联合发布《关于大力发展信用保证保险 服务和支持小微企业的指导意见》（以下简称《意见》）。</w:t>
      </w:r>
    </w:p>
    <w:p>
      <w:r>
        <w:t xml:space="preserve">在提高服务能力方面，《意见》提出了三项具体措施：优化投保操作流程；提高理赔服务效率；拓宽增值服务项目。</w:t>
      </w:r>
    </w:p>
    <w:p>
      <w:r>
        <w:t xml:space="preserve">在营造政策环境方面，《意见》指出，各地要推动银行和保险公司合作，引入贷款保证保险机制，对购买贷款保证保险进行贷款的小微企业，引导银行合理确定贷款利率，提高审贷效率。加强银保双方在客户开发、信息共享、欠款追偿等多个环节紧密合作。完善银保双方信息系统配套建设，实现银保信息互通互联。</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家外汇管理局印发保险业务外汇管理指引"/>
      <w:bookmarkEnd w:id="37"/>
      <w:r>
        <w:t xml:space="preserve">国家外汇管理局印发《保险业务外汇管理指引》</w:t>
      </w:r>
    </w:p>
    <w:p>
      <w:r>
        <w:t xml:space="preserve">日前，国家外汇管理局印发《保险业务外汇管理指引》（以下简称《指引》），自2015年3月1日起正式实施。</w:t>
      </w:r>
    </w:p>
    <w:p>
      <w:r>
        <w:t xml:space="preserve">《指引》下放法人保险机构外汇保险业务市场准入、退出以及资金本外币转换的审核权限，取消了省级及以下保险机构外汇保险业务市场准入和退出事前核准，同时取消了保险机构外汇保险业务资格每三年重新核准的要求。</w:t>
      </w:r>
    </w:p>
    <w:p>
      <w:r>
        <w:t xml:space="preserve">此外，《指引》明确了跨境保险、外汇资金运用、受托管理外汇资金等业务规则，规范了保险机构外汇账户的使用。《指引》强调，保险机构外汇资金运用账户仅限于外汇资金运用业务，不得办理结售汇和日常经营收付。</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两部门明确电池涂料消费税征收范围"/>
      <w:bookmarkEnd w:id="41"/>
      <w:r>
        <w:t xml:space="preserve">两部门明确电池涂料消费税征收范围</w:t>
      </w:r>
    </w:p>
    <w:p>
      <w:r>
        <w:t xml:space="preserve">1月26日，财政部、国税总局发布《关于对电池、涂料征收消费税的通知》（下称《通知》），明确自2015年2月1日起对电池、涂料征收消费税。</w:t>
      </w:r>
    </w:p>
    <w:p>
      <w:r>
        <w:t xml:space="preserve">《通知》称，将电池、涂料列入消费税征收范围，在生产、委托加工和进口环节征收，适用税率均为4%。电池税目范围包括：原电池、蓄电池、燃料电池、太阳能电池和其他电池。而无汞原电池、金属氢化物镍蓄电池、锂原电池、锂离子蓄电池、太阳能电池、燃料电池和全钒液流电池免征消费税。《通知》还指出，2015年12月31日前对铅蓄电池缓征消费税；自2016年1月1日起，对铅蓄电池按4%税率征收消费税。</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两部门明确金融企业贷款损失准备金企业所得税税前扣除有关政策"/>
      <w:bookmarkEnd w:id="44"/>
      <w:r>
        <w:t xml:space="preserve">两部门明确金融企业贷款损失准备金企业所得税税前扣除有关政策</w:t>
      </w:r>
    </w:p>
    <w:p>
      <w:r>
        <w:t xml:space="preserve">财政部、国税总局日前发布《关于金融企业贷款损失准备金企业所得税税前扣除有关政策的通知》（下称《通知》），自2014年1月1日起至2018年12月31日止执行。</w:t>
      </w:r>
    </w:p>
    <w:p>
      <w:r>
        <w:t xml:space="preserve">《通知》明确，准予税前提取贷款损失准备金的贷款资产范围包括：贷款（含抵押、质押、担保等贷款）；银行卡透支、贴现、信用垫款（含银行承兑汇票垫款、信用证垫款、担保垫款等）、进出口押汇、同业拆出、应收融资租赁款等各项具有贷款特征的风险资产；由金融企业转贷并承担对外还款责任的国外贷款。根据《通知》，金融企业涉农贷款和中小企业贷款损失准备金税前扣除政策，不得和本《通知》规定的金融企业一般贷款损失准备金政策叠加享受。</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金融企业涉农贷款和中小企业贷款损失准备金税前扣除有关问题明确"/>
      <w:bookmarkEnd w:id="47"/>
      <w:r>
        <w:t xml:space="preserve">金融企业涉农贷款和中小企业贷款损失准备金税前扣除有关问题明确</w:t>
      </w:r>
    </w:p>
    <w:p>
      <w:r>
        <w:t xml:space="preserve">近日，财政部、国税总局联合发布《关于金融企业涉农贷款和中小企业贷款损失准备金税前扣除有关问题的通知》（下称《通知》）。</w:t>
      </w:r>
    </w:p>
    <w:p>
      <w:r>
        <w:t xml:space="preserve">《通知》所称涉农贷款，是指《涉农贷款专项统计制度》统计的农户贷款、农村企业及各类组织贷款。中小企业贷款，是指金融企业对年销售额和资产总额均不超过2亿元的企业的贷款。根据《通知》，2014年1月1日起至2018年12月31日，金融企业根据《贷款风险分类指导原则》对其涉农贷款和中小企业贷款进行风险分类后，可对其中的关注类贷款、次级类贷款、可疑类贷款、损失类贷款分别按照2%、25%、50%和100%的比例计提的贷款损失准备金税前扣除。</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进入中哈霍尔果斯国际边境合作中心货物适用增值税退免税政策"/>
      <w:bookmarkEnd w:id="50"/>
      <w:r>
        <w:t xml:space="preserve">进入中哈霍尔果斯国际边境合作中心货物适用增值税退（免）税政策</w:t>
      </w:r>
    </w:p>
    <w:p>
      <w:r>
        <w:t xml:space="preserve">近日，财政部、国税总局联合发布《关于进入中哈霍尔果斯国际边境合作中心的货物适用增值税退（免）税政策的通知》（下称《通知》），自发布之日起施行。</w:t>
      </w:r>
    </w:p>
    <w:p>
      <w:r>
        <w:t xml:space="preserve">《通知》明确，在中哈霍尔果斯国际边境合作中心（以下简称中心）封关验收后，对由中方境内进入中心的基础设施（公共基础设施除外）建设物资和中心内设施自用设备，视同出口货物，实行增值税退（免）税政策。此外，企业申请增值税退（免）税时，需要提供货物进入中心的出口货物报关单（出口退税专用）。</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知识产权"/>
      <w:bookmarkEnd w:id="53"/>
      <w:r>
        <w:t xml:space="preserve">知识产权</w:t>
      </w:r>
    </w:p>
    <w:p>
      <w:pPr>
        <w:pStyle w:val="Heading3"/>
      </w:pPr>
      <w:bookmarkStart w:id="54" w:name="国务院国家重大科研基础设施和大型科研仪器向社会开放"/>
      <w:bookmarkEnd w:id="54"/>
      <w:r>
        <w:t xml:space="preserve">国务院：国家重大科研基础设施和大型科研仪器向社会开放</w:t>
      </w:r>
    </w:p>
    <w:p>
      <w:r>
        <w:t xml:space="preserve">近日，国务院发布《关于国家重大科研基础设施和大型科研仪器向社会开放的意见》（下称《意见》）。</w:t>
      </w:r>
    </w:p>
    <w:p>
      <w:r>
        <w:t xml:space="preserve">《意见》所称科研设施与仪器包括大型科学装置、科学仪器中心、科学仪器服务单元和单台套价值在50万元及以上的科学仪器设备等。《意见》要求加强开放使用中形成的知识产权管理。用户独立开展科学实验形成的知识产权由用户自主拥有，所完成的著作、论文等发表时，应明确标注利用科研设施与仪器情况。</w:t>
      </w:r>
    </w:p>
    <w:p>
      <w:r>
        <w:t xml:space="preserve">《意见》还明确了改革的组织实施和进度安排：2015年启动统一开放的科研设施与仪器国家网络管理平台建设；到2016年，所有符合条件的科研设施与仪器纳入国家网络管理平台管理；到2017年，对管理单位的科研设施与仪器向社会开放情况进行评价考核，并向社会公布评价考核结果。</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用于专利程序的生物材料保藏办法出台"/>
      <w:bookmarkEnd w:id="57"/>
      <w:r>
        <w:t xml:space="preserve">《用于专利程序的生物材料保藏办法》出台</w:t>
      </w:r>
    </w:p>
    <w:p>
      <w:r>
        <w:t xml:space="preserve">国家知识产权局日前发布《用于专利程序的生物材料保藏办法》（下称《办法》），自2015年3月1日起施行。</w:t>
      </w:r>
    </w:p>
    <w:p>
      <w:r>
        <w:t xml:space="preserve">《办法》明确，用于专利程序的生物材料的保藏期限至少30年，自保藏单位收到生物材料之日起计算。保藏单位在保藏期限届满前收到提供生物材料样品请求的，自请求日起至少应当再保藏5年。在保藏期间内，保藏单位应当采取一切必要的措施保持其保藏的生物材料存活和不受污染。此外，《办法》要求，涉及保藏的生物材料的专利申请公布前，保藏单位对其保藏的生物材料以及相关信息负有保密责任，不得向任何第三方提供该生物材料的样品和信息。</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行业"/>
      <w:bookmarkEnd w:id="60"/>
      <w:r>
        <w:t xml:space="preserve">行业</w:t>
      </w:r>
    </w:p>
    <w:p>
      <w:pPr>
        <w:pStyle w:val="Heading3"/>
      </w:pPr>
      <w:bookmarkStart w:id="61" w:name="重要资源循环利用工程技术推广及装备产业化实施方案印发"/>
      <w:bookmarkEnd w:id="61"/>
      <w:r>
        <w:t xml:space="preserve">《重要资源循环利用工程（技术推广及装备产业化）实施方案》印发</w:t>
      </w:r>
    </w:p>
    <w:p>
      <w:r>
        <w:t xml:space="preserve">近日，国家发展改革委印发《重要资源循环利用工程（技术推广及装备产业化）实施方案》（下称《方案》）。</w:t>
      </w:r>
    </w:p>
    <w:p>
      <w:r>
        <w:t xml:space="preserve">《方案》明确，到2017年，基本形成适应资源循环利用产业发展的技术研发、推广和装备产业化能力，攻克一批技术障碍，技术储备能力显著增强，企业重大科技成果集成、转化能力大幅提高，掌握一批具有主导地位的关键核心技术，部分达到国际先进水平，初步形成主要资源循环利用装备的成套化生产能力。《方案》还鼓励和引导民间资本投向资源循环利用产业领域，鼓励企业和中介机构、行业协会等建立技术创新和转让平台，支持资源循环利用服务业公司为企业提供“一站式”服务。</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再生资源回收体系建设中长期规划2015-2020印发"/>
      <w:bookmarkEnd w:id="64"/>
      <w:r>
        <w:t xml:space="preserve">《再生资源回收体系建设中长期规划（2015-2020）》印发</w:t>
      </w:r>
    </w:p>
    <w:p>
      <w:r>
        <w:t xml:space="preserve">近日，商务部等五部委印发《再生资源回收体系建设中长期规划（2015-2020）》（下称《规划》）。</w:t>
      </w:r>
    </w:p>
    <w:p>
      <w:r>
        <w:t xml:space="preserve">《规划》提出，到2020年，在全国建成一批网点布局合理、管理规范、回收方式多元、重点品种回收率较高的回收体系示范城市，培育100家左右再生资源回收骨干企业，再生资源回收总量达到2.2亿吨左右。《规划》明确，针对生活类、产业类、服务消费类、公共机构类四类再生资源的特点，应分类建立不同模式的回收体系。此外，《规划》鼓励国内外各类资本进入再生资源回收、分拣和加工环节，健全外国投资者并购安全审查管理。鼓励龙头企业以连锁经营、特许经营等现代组织方式整合中小企业和个体经营户。</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三部门发文放宽提取住房公积金支付房租条件"/>
      <w:bookmarkEnd w:id="67"/>
      <w:r>
        <w:t xml:space="preserve">三部门发文放宽提取住房公积金支付房租条件</w:t>
      </w:r>
    </w:p>
    <w:p>
      <w:r>
        <w:t xml:space="preserve">日前，住房城乡建设部、财政部、人民银行联合发布《关于放宽提取住房公积金支付房租条件的通知》（以下简称《通知》）。</w:t>
      </w:r>
    </w:p>
    <w:p>
      <w:r>
        <w:t xml:space="preserve">《通知》明确了租房提取公积金的条件及额度。职工连续足额缴存住房公积金满3个月，本人及配偶在缴存城市无自有住房且租赁住房的，可提取夫妻双方住房公积金支付房租。职工租住公共租赁住房的，按照实际房租支出全额提取；租住商品住房的，各地住房公积金管理委员会根据当地市场租金水平和租住住房面积，确定租房提取额度。</w:t>
      </w:r>
    </w:p>
    <w:p>
      <w:r>
        <w:t xml:space="preserve">《通知》简化了租房提取要件。职工租房提取应向住房公积金管理中心提出申请，并提供以下材料：租住公共租赁住房，提供房屋租赁合同和租金缴纳证明；租住商品住房，提供本人及配偶名下无房产的证明。</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家能源局取消新建机组进入商业运营审批"/>
      <w:bookmarkEnd w:id="70"/>
      <w:r>
        <w:t xml:space="preserve">国家能源局取消新建机组进入商业运营审批</w:t>
      </w:r>
    </w:p>
    <w:p>
      <w:r>
        <w:t xml:space="preserve">近日，国家能源局发布《关于取消新建机组进入商业运营审批有关事项的通知》（下称《通知》）。</w:t>
      </w:r>
    </w:p>
    <w:p>
      <w:r>
        <w:t xml:space="preserve">《通知》明确，国家能源局及各派出机构原来承担的新建机组进入商业运营审批工作取消，各发电企业不需提出新建机组进入商业运营申请，国家能源局及各派出机构不再出具新建机组进入商业运营的批复函。根据《通知》，新建机组完成整套设备启动试运行时间点起，停止执行调试电价，执行国家规定电价。在完成整套设备启动试运行时间点后90天内，新建机组具备商业运营条件的，自动进入商业运营；届时未具备商业运营条件的，可申请由国家能源局及各派出机构进行专项核查。</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发展改革委加强原油加工企业商业原油库存运行管理"/>
      <w:bookmarkEnd w:id="73"/>
      <w:r>
        <w:t xml:space="preserve">发展改革委：加强原油加工企业商业原油库存运行管理</w:t>
      </w:r>
    </w:p>
    <w:p>
      <w:r>
        <w:t xml:space="preserve">1月26日，国家发展改革委发布《关于加强原油加工企业商业原油库存运行管理的指导意见》（下称《意见》）。</w:t>
      </w:r>
    </w:p>
    <w:p>
      <w:r>
        <w:t xml:space="preserve">《意见》要求，所有以原油为原料生产各类石油产品的原油加工企业，均应储存不低于15天设计日均加工量的原油。国际原油价格超过130美元/桶时，可适当降低库存量，但不得低于10天设计日均加工量。已投产企业应在1年内达到最低库存标准，有关设计规范颁布前建设、储存条件有限的企业，最迟应在3年内达到最低库存标准。新建企业应在建成投产后1年内达到最低库存标准。此外，国家通过简化项目审批、支持企业融资、给予资源配置倾斜、据实核算成本等多种方式鼓励企业提高商业原油库存。</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并购"/>
      <w:bookmarkEnd w:id="76"/>
      <w:r>
        <w:t xml:space="preserve">并购</w:t>
      </w:r>
    </w:p>
    <w:p>
      <w:pPr>
        <w:pStyle w:val="Heading3"/>
      </w:pPr>
      <w:bookmarkStart w:id="77" w:name="大元股份募资28亿收购环球星光95股权"/>
      <w:bookmarkEnd w:id="77"/>
      <w:r>
        <w:t xml:space="preserve">大元股份募资28亿收购环球星光95%股权</w:t>
      </w:r>
    </w:p>
    <w:p>
      <w:r>
        <w:t xml:space="preserve">大元股份1月29日公告，公司拟以10.41元/股的价格，向商赢控股、旭森国际控股等10名特定投资者，发行不超过2.7亿股股票，募集资金不超过28.1亿元，用于购买环球星光95%的股权、环球星光品牌推广项目、环球星光美国物流基地项目和补充流动资金项目。</w:t>
      </w:r>
    </w:p>
    <w:p>
      <w:r>
        <w:t xml:space="preserve">环球星光集服装研发、设计、生产和销售于一体，旗下有多个女性服装品牌，主要销售面对美国市场。</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三花股份12.8亿收购大股东资产"/>
      <w:bookmarkEnd w:id="80"/>
      <w:r>
        <w:t xml:space="preserve">三花股份12.8亿收购大股东资产</w:t>
      </w:r>
    </w:p>
    <w:p>
      <w:r>
        <w:t xml:space="preserve">三花股份1月27日披露资产收购预案，公司拟向大股东三花控股旗下三花钱江非公开发行股份购买三花微通道100%股权，作价12.8亿元。公司股票今日起复牌。</w:t>
      </w:r>
    </w:p>
    <w:p>
      <w:r>
        <w:t xml:space="preserve">三花微通道预估值为12.8亿元，三花股份拟以12.36元/股发行1.04亿股用于支付交易对价。同时，公司拟通向不超过10名特定对象以不低于13.13元/股的价格非公开发行股票募集配套资金4亿元，募资将用于三花微通道“在墨西哥建设微通道换热器生产线项目”、“新增年产80万台换热器技术改造项目”，以及向三花微通道补充营运资金。</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陕鼓动力收购捷克ekol100股权"/>
      <w:bookmarkEnd w:id="83"/>
      <w:r>
        <w:t xml:space="preserve">陕鼓动力收购捷克EKOL100%股权</w:t>
      </w:r>
    </w:p>
    <w:p>
      <w:r>
        <w:t xml:space="preserve">近日，陕鼓动力与捷克EKOL公司正式签属股权转让协议。按照协议，陕鼓动力将分阶段购买EKOL公司股东所持有的100%股权。</w:t>
      </w:r>
    </w:p>
    <w:p>
      <w:r>
        <w:t xml:space="preserve">陕鼓动力在第一阶段将以现金支付的方式收购EKOL公司75%的股权，之后将分阶段通过行使期权的方式收购EKOL剩余25%的股权。此次交易完成后，陕鼓动力将成为EKOL公司控股股东。</w:t>
      </w:r>
    </w:p>
    <w:p>
      <w:r>
        <w:t xml:space="preserve">捷克EKOL公司成立于1991年，是中东欧地区中型蒸汽轮机的主要制造商，能够向客户提供蒸汽轮机生产销售、EPC工程总包、燃汽轮机维护、锅炉设计等服务，是全球少数具备自主、完整的反动式蒸汽轮机设计生产能力的公司，在工业驱动型汽轮机上占很大优势，其产品在汽耗等指标上处于全球领先地位；并具有广泛的全球销售渠道，近三年来出口量已占到其总销售额的70%以上，销售辐射中东欧、独联体、中东及北非、拉美等近30个国家和地区。</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汽牛股份5亿收购春茂"/>
      <w:bookmarkEnd w:id="86"/>
      <w:r>
        <w:t xml:space="preserve">汽牛股份5亿收购春茂</w:t>
      </w:r>
    </w:p>
    <w:p>
      <w:r>
        <w:t xml:space="preserve">汽牛股份收购春茂集团事宜，已获股东大会通过，即将进入实施阶段。汽牛股份大股东全春茂计划将旗下养殖企业春茂集团整体注入公司，交易金额达到4.89亿元。</w:t>
      </w:r>
    </w:p>
    <w:p>
      <w:r>
        <w:t xml:space="preserve">由于资金的欠缺，汽牛股份选择通过发行股份的方式支付交易对价。汽牛股份将以1.2元/股向全春茂等37名春茂集团股东发行4.08亿股股份。发行完成后，大股东全春茂对汽牛股份的控制权得到进一步巩固，持股比例由37.21%上升至76.80%。</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皇氏集团7.8亿购盛世骄阳加码影视投资"/>
      <w:bookmarkEnd w:id="89"/>
      <w:r>
        <w:t xml:space="preserve">皇氏集团7.8亿购盛世骄阳加码影视投资</w:t>
      </w:r>
    </w:p>
    <w:p>
      <w:r>
        <w:t xml:space="preserve">皇氏集团1月30日宣布以7.8亿元收购北京盛世骄阳文化传播有限公司100%股权。此次收购，使皇氏集团拥有“影视制作+新媒体运营+终端传播”完整产业链。</w:t>
      </w:r>
    </w:p>
    <w:p>
      <w:r>
        <w:t xml:space="preserve">收购方案显示，皇氏集团拟以发行股份和支付现金相结合的方式，购买自然人徐蕾蕾等7名交易对方合计持有的盛世骄阳100%的股权。该股权的总估值为7.8亿元。截至2014年底，盛世骄阳净资产约为2.3亿，交易溢价率为239.1%。</w:t>
      </w:r>
    </w:p>
    <w:p>
      <w:r>
        <w:t xml:space="preserve">据公告，此次发行的价格为26.39元/股，发行数量约为2489.5万股。同时，皇氏集团还向不超过10名特定投资者非公开发行股份，募集配套资金不超过2.19亿，增发价格不低于23.75元/股，发行股份数量不超过922.06万股。募集资金中，约1.23亿元用于向盛世骄阳部分股东支付现金对价，剩余部分在支付相关费用后用于补充盛世骄阳流动资金。</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2"/>
      </w:pPr>
      <w:bookmarkStart w:id="92" w:name="其他"/>
      <w:bookmarkEnd w:id="92"/>
      <w:r>
        <w:t xml:space="preserve">其他</w:t>
      </w:r>
    </w:p>
    <w:p>
      <w:pPr>
        <w:pStyle w:val="Heading3"/>
      </w:pPr>
      <w:bookmarkStart w:id="93" w:name="最高法发布关于巡回法庭审理案件若干问题的规定"/>
      <w:bookmarkEnd w:id="93"/>
      <w:r>
        <w:t xml:space="preserve">最高法发布《关于巡回法庭审理案件若干问题的规定》</w:t>
      </w:r>
    </w:p>
    <w:p>
      <w:r>
        <w:t xml:space="preserve">1月28日，最高人民法院发布《关于巡回法庭审理案件若干问题的规定》（以下简称《规定》），自2015年2月1日起施行。</w:t>
      </w:r>
    </w:p>
    <w:p>
      <w:r>
        <w:t xml:space="preserve">《规定》共13条，规定了巡回法庭的设置地点、巡回区域、机构性质、受案范围、巡回法庭的当事人向巡回法庭提交材料程序，同时对巡回法庭工作方式、合议庭组成、裁判文书签发、审判管理等问题也作出了明确。</w:t>
      </w:r>
    </w:p>
    <w:p>
      <w:r>
        <w:t xml:space="preserve">值得关注的是，《规定》明确规定，最高人民法院选拔办案能力突出、审判经验丰富的审判人员担任巡回法庭主审法官。巡回法庭的合议庭由主审法官组成。巡回法庭庭长、副庭长要参加合议庭直接审理案件。巡回法庭合议庭审理案件时，由承办案件的主审法官担任审判长。庭长或者副庭长参加合议庭审理案件时，自己担任审判长。巡回法庭作出的判决、裁定，合议庭成员签署后，由审判长签发。</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Heading3"/>
      </w:pPr>
      <w:bookmarkStart w:id="96" w:name="国务院推广上海自贸区可复制改革试点经验"/>
      <w:bookmarkEnd w:id="96"/>
      <w:r>
        <w:t xml:space="preserve">国务院推广上海自贸区可复制改革试点经验</w:t>
      </w:r>
    </w:p>
    <w:p>
      <w:r>
        <w:t xml:space="preserve">近日，国务院发布《关于推广中国（上海）自由贸易试验区可复制改革试点经验的通知》（以下简称《通知》）。</w:t>
      </w:r>
    </w:p>
    <w:p>
      <w:r>
        <w:t xml:space="preserve">根据《通知》，在全国范围内复制推广的改革事项主要涉及投资管理领域、贸易便利化领域、金融领域、服务业开放领域、事中事后监管措施等五个方面。其中，在投资管理领域，在全国范围内复制推广的改革事项包括以下内容：外商投资广告企业项目备案制、涉税事项网上审批备案、税务登记号码网上自动赋码、网上自主办税、纳税信用管理的网上信用评级、组织机构代码实时赋码、企业标准备案管理制度创新、取消生产许可证委托加工备案、企业设立实行“单一窗口”等。</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工商总局指阿里五宗罪-阿里市值蒸发百亿美金"/>
      <w:bookmarkEnd w:id="99"/>
      <w:r>
        <w:t xml:space="preserve">工商总局指阿里“五宗罪” 阿里市值蒸发百亿美金</w:t>
      </w:r>
    </w:p>
    <w:p>
      <w:r>
        <w:t xml:space="preserve">淘宝与国家工商总局就网络交易商品产生的争议成为各界关注焦点。阿里巴巴在美股的股价产生连锁反应，周三下跌4.36%，至98.45美元，市值蒸发了110亿美元(合687亿人民币)。</w:t>
      </w:r>
    </w:p>
    <w:p>
      <w:r>
        <w:t xml:space="preserve">1月28日，国家工商总局在其官网公布《关于对阿里巴巴集团进行行政指导工作情况的白皮书》，其中指出阿里系网络交易平台存在主体准入把关不严、对商品信息审查不力、销售行为管理混乱、信用评价存有缺陷、内部工作人员管控不严等5大突出问题，并对阿里巴巴集团提出相关工作要求。</w:t>
      </w:r>
    </w:p>
    <w:p>
      <w:r>
        <w:t xml:space="preserve">淘宝网官方微博周三发布声明，表示就国家工商总局发布2014年下半年网络交易商品定向监测结果一事，针对工商总局刘红亮司长在监管过程中的程序失当、情绪执法的行为，用错误的方式得到的一个不客观的结论，淘宝决定向国家工商总局正式投诉。</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2">
        <w:r>
          <w:rPr>
            <w:rStyle w:val="Link"/>
          </w:rPr>
          <w:t xml:space="preserve">unsubscribe@charltonslaw.com</w:t>
        </w:r>
      </w:hyperlink>
    </w:p>
    <w:p>
      <w:r>
        <w:rPr>
          <w:b/>
        </w:rPr>
        <w:t xml:space="preserve">易周律师行 - 法讯 - 中国 - 第442期 - 2015年02月02日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a540d7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101" Target="24.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4" Target="http://epaper.stcn.com/paper/zqsb/html/2015-01/26/content_652129.htm" TargetMode="External" /><Relationship Type="http://schemas.openxmlformats.org/officeDocument/2006/relationships/hyperlink" Id="rId81" Target="http://epaper.stcn.com/paper/zqsb/html/2015-01/27/content_652596.htm" TargetMode="External" /><Relationship Type="http://schemas.openxmlformats.org/officeDocument/2006/relationships/hyperlink" Id="rId78" Target="http://epaper.stcn.com/paper/zqsb/html/epaper/index/content_653563.htm" TargetMode="External" /><Relationship Type="http://schemas.openxmlformats.org/officeDocument/2006/relationships/hyperlink" Id="rId87" Target="http://epaper.stcn.com/paper/zqsb/html/epaper/index/content_653635.htm" TargetMode="External" /><Relationship Type="http://schemas.openxmlformats.org/officeDocument/2006/relationships/hyperlink" Id="rId90" Target="http://epaper.stcn.com/paper/zqsb/html/epaper/index/content_654064.htm" TargetMode="External" /><Relationship Type="http://schemas.openxmlformats.org/officeDocument/2006/relationships/hyperlink" Id="rId65" Target="http://ltfzs.mofcom.gov.cn/article/ztzzn/an/201501/20150100878083.shtml" TargetMode="External" /><Relationship Type="http://schemas.openxmlformats.org/officeDocument/2006/relationships/hyperlink" Id="rId100" Target="http://money.163.com/15/0129/10/AH4BG8VS00253B0H.html" TargetMode="External" /><Relationship Type="http://schemas.openxmlformats.org/officeDocument/2006/relationships/hyperlink" Id="rId51" Target="http://szs.mof.gov.cn/zhengwuxinxi/zhengcefabu/201501/t20150126_1184202.html" TargetMode="External" /><Relationship Type="http://schemas.openxmlformats.org/officeDocument/2006/relationships/hyperlink" Id="rId42" Target="http://szs.mof.gov.cn/zhengwuxinxi/zhengcefabu/201501/t20150127_1184863.html" TargetMode="External" /><Relationship Type="http://schemas.openxmlformats.org/officeDocument/2006/relationships/hyperlink" Id="rId21" Target="http://www.charltonslaw.com.cn/china-news-alerts-cn-issue-442/" TargetMode="External" /><Relationship Type="http://schemas.openxmlformats.org/officeDocument/2006/relationships/hyperlink" Id="rId31" Target="http://www.chinaclear.cn/zdjs/gszb/201501/45a743d95fe34d3bbd5bfab88b2c08be.shtml" TargetMode="External" /><Relationship Type="http://schemas.openxmlformats.org/officeDocument/2006/relationships/hyperlink" Id="rId48" Target="http://www.chinatax.gov.cn/n810341/n810755/c1476113/content.html" TargetMode="External" /><Relationship Type="http://schemas.openxmlformats.org/officeDocument/2006/relationships/hyperlink" Id="rId45" Target="http://www.chinatax.gov.cn/n810341/n810755/c1476150/content.html" TargetMode="External" /><Relationship Type="http://schemas.openxmlformats.org/officeDocument/2006/relationships/hyperlink" Id="rId25" Target="http://www.circ.gov.cn/web/site0/tab5168/info3948679.htm" TargetMode="External" /><Relationship Type="http://schemas.openxmlformats.org/officeDocument/2006/relationships/hyperlink" Id="rId35" Target="http://www.circ.gov.cn/web/site0/tab5168/info3949129.htm" TargetMode="External" /><Relationship Type="http://schemas.openxmlformats.org/officeDocument/2006/relationships/hyperlink" Id="rId94" Target="http://www.court.gov.cn/zixun-xiangqing-13148.html" TargetMode="External" /><Relationship Type="http://schemas.openxmlformats.org/officeDocument/2006/relationships/hyperlink" Id="rId55" Target="http://www.gov.cn/zhengce/content/2015-01/26/content_9431.htm" TargetMode="External" /><Relationship Type="http://schemas.openxmlformats.org/officeDocument/2006/relationships/hyperlink" Id="rId97" Target="http://www.gov.cn/zhengce/content/2015-01/29/content_9437.htm" TargetMode="External" /><Relationship Type="http://schemas.openxmlformats.org/officeDocument/2006/relationships/hyperlink" Id="rId68" Target="http://www.mohurd.gov.cn/zcfg/jsbwj_0/zfbzygjjjdgls/201501/t20150129_220233.html" TargetMode="External" /><Relationship Type="http://schemas.openxmlformats.org/officeDocument/2006/relationships/hyperlink" Id="rId28" Target="http://www.safe.gov.cn/resources/wcmpages//wps/wcm/connect/safe_web_store/safe_web/zcfg/jcxmwhgl/jcxmzh/node_zcfg_jcxm_jcxmzh_store/0a685180471ba70aaa05ae3b4795588d/" TargetMode="External" /><Relationship Type="http://schemas.openxmlformats.org/officeDocument/2006/relationships/hyperlink" Id="rId38" Target="http://www.safe.gov.cn/resources/wcmpages//wps/wcm/connect/safe_web_store/safe_web/zcfg/jcxmwhgl/jcxmzh/node_zcfg_jcxm_jcxmzh_store/cd7922804712a3219c72bceee2a1794d/" TargetMode="External" /><Relationship Type="http://schemas.openxmlformats.org/officeDocument/2006/relationships/hyperlink" Id="rId62" Target="http://www.sdpc.gov.cn/gzdt/201501/t20150128_661433.html" TargetMode="External" /><Relationship Type="http://schemas.openxmlformats.org/officeDocument/2006/relationships/hyperlink" Id="rId74" Target="http://www.sdpc.gov.cn/gzdt/201501/t20150128_661769.html" TargetMode="External" /><Relationship Type="http://schemas.openxmlformats.org/officeDocument/2006/relationships/hyperlink" Id="rId58" Target="http://www.sipo.gov.cn/zwgg/jl/201501/t20150123_1065907.html" TargetMode="External" /><Relationship Type="http://schemas.openxmlformats.org/officeDocument/2006/relationships/hyperlink" Id="rId71" Target="http://zfxxgk.nea.gov.cn/auto92/201501/t20150129_1886.htm" TargetMode="External" /><Relationship Type="http://schemas.openxmlformats.org/officeDocument/2006/relationships/hyperlink" Id="rId10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101" Target="24.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4" Target="http://epaper.stcn.com/paper/zqsb/html/2015-01/26/content_652129.htm" TargetMode="External" /><Relationship Type="http://schemas.openxmlformats.org/officeDocument/2006/relationships/hyperlink" Id="rId81" Target="http://epaper.stcn.com/paper/zqsb/html/2015-01/27/content_652596.htm" TargetMode="External" /><Relationship Type="http://schemas.openxmlformats.org/officeDocument/2006/relationships/hyperlink" Id="rId78" Target="http://epaper.stcn.com/paper/zqsb/html/epaper/index/content_653563.htm" TargetMode="External" /><Relationship Type="http://schemas.openxmlformats.org/officeDocument/2006/relationships/hyperlink" Id="rId87" Target="http://epaper.stcn.com/paper/zqsb/html/epaper/index/content_653635.htm" TargetMode="External" /><Relationship Type="http://schemas.openxmlformats.org/officeDocument/2006/relationships/hyperlink" Id="rId90" Target="http://epaper.stcn.com/paper/zqsb/html/epaper/index/content_654064.htm" TargetMode="External" /><Relationship Type="http://schemas.openxmlformats.org/officeDocument/2006/relationships/hyperlink" Id="rId65" Target="http://ltfzs.mofcom.gov.cn/article/ztzzn/an/201501/20150100878083.shtml" TargetMode="External" /><Relationship Type="http://schemas.openxmlformats.org/officeDocument/2006/relationships/hyperlink" Id="rId100" Target="http://money.163.com/15/0129/10/AH4BG8VS00253B0H.html" TargetMode="External" /><Relationship Type="http://schemas.openxmlformats.org/officeDocument/2006/relationships/hyperlink" Id="rId51" Target="http://szs.mof.gov.cn/zhengwuxinxi/zhengcefabu/201501/t20150126_1184202.html" TargetMode="External" /><Relationship Type="http://schemas.openxmlformats.org/officeDocument/2006/relationships/hyperlink" Id="rId42" Target="http://szs.mof.gov.cn/zhengwuxinxi/zhengcefabu/201501/t20150127_1184863.html" TargetMode="External" /><Relationship Type="http://schemas.openxmlformats.org/officeDocument/2006/relationships/hyperlink" Id="rId21" Target="http://www.charltonslaw.com.cn/china-news-alerts-cn-issue-442/" TargetMode="External" /><Relationship Type="http://schemas.openxmlformats.org/officeDocument/2006/relationships/hyperlink" Id="rId31" Target="http://www.chinaclear.cn/zdjs/gszb/201501/45a743d95fe34d3bbd5bfab88b2c08be.shtml" TargetMode="External" /><Relationship Type="http://schemas.openxmlformats.org/officeDocument/2006/relationships/hyperlink" Id="rId48" Target="http://www.chinatax.gov.cn/n810341/n810755/c1476113/content.html" TargetMode="External" /><Relationship Type="http://schemas.openxmlformats.org/officeDocument/2006/relationships/hyperlink" Id="rId45" Target="http://www.chinatax.gov.cn/n810341/n810755/c1476150/content.html" TargetMode="External" /><Relationship Type="http://schemas.openxmlformats.org/officeDocument/2006/relationships/hyperlink" Id="rId25" Target="http://www.circ.gov.cn/web/site0/tab5168/info3948679.htm" TargetMode="External" /><Relationship Type="http://schemas.openxmlformats.org/officeDocument/2006/relationships/hyperlink" Id="rId35" Target="http://www.circ.gov.cn/web/site0/tab5168/info3949129.htm" TargetMode="External" /><Relationship Type="http://schemas.openxmlformats.org/officeDocument/2006/relationships/hyperlink" Id="rId94" Target="http://www.court.gov.cn/zixun-xiangqing-13148.html" TargetMode="External" /><Relationship Type="http://schemas.openxmlformats.org/officeDocument/2006/relationships/hyperlink" Id="rId55" Target="http://www.gov.cn/zhengce/content/2015-01/26/content_9431.htm" TargetMode="External" /><Relationship Type="http://schemas.openxmlformats.org/officeDocument/2006/relationships/hyperlink" Id="rId97" Target="http://www.gov.cn/zhengce/content/2015-01/29/content_9437.htm" TargetMode="External" /><Relationship Type="http://schemas.openxmlformats.org/officeDocument/2006/relationships/hyperlink" Id="rId68" Target="http://www.mohurd.gov.cn/zcfg/jsbwj_0/zfbzygjjjdgls/201501/t20150129_220233.html" TargetMode="External" /><Relationship Type="http://schemas.openxmlformats.org/officeDocument/2006/relationships/hyperlink" Id="rId28" Target="http://www.safe.gov.cn/resources/wcmpages//wps/wcm/connect/safe_web_store/safe_web/zcfg/jcxmwhgl/jcxmzh/node_zcfg_jcxm_jcxmzh_store/0a685180471ba70aaa05ae3b4795588d/" TargetMode="External" /><Relationship Type="http://schemas.openxmlformats.org/officeDocument/2006/relationships/hyperlink" Id="rId38" Target="http://www.safe.gov.cn/resources/wcmpages//wps/wcm/connect/safe_web_store/safe_web/zcfg/jcxmwhgl/jcxmzh/node_zcfg_jcxm_jcxmzh_store/cd7922804712a3219c72bceee2a1794d/" TargetMode="External" /><Relationship Type="http://schemas.openxmlformats.org/officeDocument/2006/relationships/hyperlink" Id="rId62" Target="http://www.sdpc.gov.cn/gzdt/201501/t20150128_661433.html" TargetMode="External" /><Relationship Type="http://schemas.openxmlformats.org/officeDocument/2006/relationships/hyperlink" Id="rId74" Target="http://www.sdpc.gov.cn/gzdt/201501/t20150128_661769.html" TargetMode="External" /><Relationship Type="http://schemas.openxmlformats.org/officeDocument/2006/relationships/hyperlink" Id="rId58" Target="http://www.sipo.gov.cn/zwgg/jl/201501/t20150123_1065907.html" TargetMode="External" /><Relationship Type="http://schemas.openxmlformats.org/officeDocument/2006/relationships/hyperlink" Id="rId71" Target="http://zfxxgk.nea.gov.cn/auto92/201501/t20150129_1886.htm" TargetMode="External" /><Relationship Type="http://schemas.openxmlformats.org/officeDocument/2006/relationships/hyperlink" Id="rId10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第442期 - 2015年02月02日</dc:title>
  <dc:creator/>
</cp:coreProperties>
</file>