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第444期</w:t>
      </w:r>
      <w:r>
        <w:t xml:space="preserve"> </w:t>
      </w:r>
      <w:r>
        <w:t xml:space="preserve">-</w:t>
      </w:r>
      <w:r>
        <w:t xml:space="preserve"> </w:t>
      </w:r>
      <w:r>
        <w:t xml:space="preserve">2015年02月27日</w:t>
      </w:r>
    </w:p>
    <w:p>
      <w:hyperlink r:id="rId21">
        <w:r>
          <w:rPr>
            <w:rStyle w:val="Link"/>
          </w:rPr>
          <w:t xml:space="preserve">网络版</w:t>
        </w:r>
      </w:hyperlink>
    </w:p>
    <w:p>
      <w:pPr>
        <w:pStyle w:val="Heading1"/>
      </w:pPr>
      <w:bookmarkStart w:id="22" w:name="法讯中国第444期"/>
      <w:bookmarkEnd w:id="22"/>
      <w:r>
        <w:t xml:space="preserve">法讯中国第444期</w:t>
      </w:r>
    </w:p>
    <w:p>
      <w:pPr>
        <w:pStyle w:val="Heading2"/>
      </w:pPr>
      <w:bookmarkStart w:id="23" w:name="资本市场"/>
      <w:bookmarkEnd w:id="23"/>
      <w:r>
        <w:t xml:space="preserve">资本市场</w:t>
      </w:r>
    </w:p>
    <w:p>
      <w:pPr>
        <w:pStyle w:val="Heading3"/>
      </w:pPr>
      <w:bookmarkStart w:id="24" w:name="发展改革委调整2015年对境内外资银行中长期外债规模"/>
      <w:bookmarkEnd w:id="24"/>
      <w:r>
        <w:t xml:space="preserve">发展改革委调整2015年对境内外资银行中长期外债规模</w:t>
      </w:r>
    </w:p>
    <w:p>
      <w:r>
        <w:t xml:space="preserve">近日，国家发展改革委发布《关于境内外资银行2015年度中长期外债规模有关问题的通知》（下称《通知》），决定于2015年度对境内外资银行（以下称“外资银行”）中长期外债管理进行适当调整。</w:t>
      </w:r>
    </w:p>
    <w:p>
      <w:r>
        <w:t xml:space="preserve">《通知》明确，外资银行根据发改委制定的核算标准，自主核算2015年度中长期外债额度，并据此提出外债额度申请。其中，2015年度中长期外债额度核算标准为：2012-2014年度最高的中长期外债额度×外债调节系数。发改委基于外资银行的自主核算额度，于3月底统一下达中长期外债额度。《通知》指出，2015年12月31日前，外资银行可申请调增中长期外债额度一次。</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海自贸区企业境外融资新政出台"/>
      <w:bookmarkEnd w:id="27"/>
      <w:r>
        <w:t xml:space="preserve">上海自贸区企业境外融资新政出台</w:t>
      </w:r>
    </w:p>
    <w:p>
      <w:r>
        <w:t xml:space="preserve">近日，中国人民银行上海总部印发《中国（上海）自由贸易试验区分账核算业务境外融资与跨境资金流动宏观审慎管理实施细则（试行）》（下称《实施细则》），自公布之日起施行。</w:t>
      </w:r>
    </w:p>
    <w:p>
      <w:r>
        <w:t xml:space="preserve">《实施细则》明确，区内企业、非银行金融机构和提供试验区分账核算业务的金融机构，可以从境内（含区内）融资，也可以从境外融资，并遵循风险可控原则。其中，境外部分采用境外融资杠杆率、风险转换因子和宏观审慎调节参数的方式进行管理。此外，《实施细则》取消了境外融资的前置审批，借债主体可按照自身资本规模的大小、在核定的规模内，综合考虑期限、币种、融资类别等因素，自主决策开展境外融资的方式、期限、币种等。</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外汇局进一步规范个人本外币兑换特许业务和外币代兑业务管理"/>
      <w:bookmarkEnd w:id="30"/>
      <w:r>
        <w:t xml:space="preserve">外汇局进一步规范个人本外币兑换特许业务和外币代兑业务管理</w:t>
      </w:r>
    </w:p>
    <w:p>
      <w:r>
        <w:t xml:space="preserve">2月12日，国家外汇管理局发布《国家外汇管理局综合司关于规范个人本外币兑换特许业务和外币代兑业务有关事项的通知》（以下简称《通知》），自发布之日起施行。</w:t>
      </w:r>
    </w:p>
    <w:p>
      <w:r>
        <w:t xml:space="preserve">《通知》进一步规范和完善个人本外币兑换特许业务和外币代兑业务的管理，明确了市场准入、日常监管和事后处置环节的监管内容，重申了取缔利用个人本外币兑换特许业务或外币代兑业务的名义非法从事网络炒汇活动的监管要求。</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保险"/>
      <w:bookmarkEnd w:id="33"/>
      <w:r>
        <w:t xml:space="preserve">保险</w:t>
      </w:r>
    </w:p>
    <w:p>
      <w:pPr>
        <w:pStyle w:val="Heading3"/>
      </w:pPr>
      <w:bookmarkStart w:id="34" w:name="保监会偿二代监管规则和过渡方案正式发布"/>
      <w:bookmarkEnd w:id="34"/>
      <w:r>
        <w:t xml:space="preserve">保监会：偿二代监管规则和过渡方案正式发布</w:t>
      </w:r>
    </w:p>
    <w:p>
      <w:r>
        <w:t xml:space="preserve">近日，保监会正式发布中国风险导向的偿付能力体系（简称“偿二代”）17项监管规则，以及《关于中国风险导向偿付能力体系实施过渡期有关事项的通知》（下称《通知》），从发文之日起进入偿二代试运行过渡期。</w:t>
      </w:r>
    </w:p>
    <w:p>
      <w:r>
        <w:t xml:space="preserve">《通知》规定，在过渡期内，保险公司应当分别按照现行偿付能力监管制度（偿一代）和偿二代标准编制两套偿付能力报告，以偿一代作为监管依据。《通知》明确了各项监管规则在过渡期内的适用要求和具体标准，包括寿险合同负债的折现率曲线、巨灾风险因子和计算模板、利率风险不利情景、压力测试的必测情景以及需要编报集团偿付能力报告的公司等。保监会将于2015年首次对保险公司偿付能力风险管理能力进行监管评估，过渡期内监管评估结果暂时不与资本要求挂钩。</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税收"/>
      <w:bookmarkEnd w:id="37"/>
      <w:r>
        <w:t xml:space="preserve">税收</w:t>
      </w:r>
    </w:p>
    <w:p>
      <w:pPr>
        <w:pStyle w:val="Heading3"/>
      </w:pPr>
      <w:bookmarkStart w:id="38" w:name="财政部进一步调整海南离岛旅客免税购物政策"/>
      <w:bookmarkEnd w:id="38"/>
      <w:r>
        <w:t xml:space="preserve">财政部进一步调整海南离岛旅客免税购物政策</w:t>
      </w:r>
    </w:p>
    <w:p>
      <w:r>
        <w:t xml:space="preserve">近日，财政部发布《关于进一步调整海南离岛旅客免税购物政策的公告》（下称《公告》），自2015年3月20日起执行。</w:t>
      </w:r>
    </w:p>
    <w:p>
      <w:r>
        <w:t xml:space="preserve">《公告》明确，增加免税品种类，将零售包装的婴儿配方奶粉、咖啡、保健食品、家用空气净化器、家用医疗器械等17种消费品纳入离岛免税商品范围；放宽香水、化妆品、手表、服装服饰、小皮件等10种热销商品的单次购物数量限制。除以上调整外，离岛免税政策其他内容继续执行《财政部关于调整海南离岛旅客免税购物政策的公告》和《财政部关于开展海南离岛旅客免税购物政策试点的公告》的有关规定。</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行业"/>
      <w:bookmarkEnd w:id="41"/>
      <w:r>
        <w:t xml:space="preserve">行业</w:t>
      </w:r>
    </w:p>
    <w:p>
      <w:pPr>
        <w:pStyle w:val="Heading3"/>
      </w:pPr>
      <w:bookmarkStart w:id="42" w:name="国家能源局发布煤层气勘探开发行动计划"/>
      <w:bookmarkEnd w:id="42"/>
      <w:r>
        <w:t xml:space="preserve">国家能源局发布煤层气勘探开发行动计划</w:t>
      </w:r>
    </w:p>
    <w:p>
      <w:r>
        <w:t xml:space="preserve">近日，国家能源局发布《煤层气勘探开发行动计划》（下称《计划》），提出到2020年，建成3—4个煤层气产业化基地，新增探明煤层气地质储量1万亿立方米；煤层气（煤矿瓦斯）抽采量力争达到400亿立方米，其中地面开发200亿立方米，基本全部利用；煤矿瓦斯抽采200亿立方米，利用率达到60%；煤矿瓦斯发电装机容量超过400万千瓦，民用超过600万户。</w:t>
      </w:r>
    </w:p>
    <w:p>
      <w:r>
        <w:t xml:space="preserve">《计划》要求，严格落实煤层气市场定价机制，定期组织开展价格专项督查，严肃查处地方政府不当干预价格行为。同时，鼓励民间资本参与煤层气勘探开发、储配及输气管道等基础设施建设。在山西、新疆、贵州等地区新设一批煤层气矿业权，采用竞争方式择优确定勘查开发主体。</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六部门联合发布互联网危险物品信息发布管理规定"/>
      <w:bookmarkEnd w:id="45"/>
      <w:r>
        <w:t xml:space="preserve">六部门联合发布《互联网危险物品信息发布管理规定》</w:t>
      </w:r>
    </w:p>
    <w:p>
      <w:r>
        <w:t xml:space="preserve">2月16日，公安部、网信办、工信部等6部门联合印发《互联网危险物品信息发布管理规定》（下称《规定》），自2015年3月1日起执行。</w:t>
      </w:r>
    </w:p>
    <w:p>
      <w:r>
        <w:t xml:space="preserve">《规定》所称危险物品从业单位，是指依法取得危险物品生产、经营、使用资质的单位以及从事危险物品相关工作的教学、科研、社会团体、中介机构等单位。《规定》明确，禁止个人在互联网上发布危险物品信息。危险物品从业单位从事互联网信息服务的，应依法取得互联网信息服务增值电信业务经营许可或者办理非经营性互联网信息服务备案手续。此外，禁止危险物品从业单位在本单位网站以外的互联网应用服务中发布危险物品信息及建立相关链接，禁止任何单位和个人在互联网上发布危险物品制造方法的信息。</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国家发展改革委明确进口原油使用管理有关问题"/>
      <w:bookmarkEnd w:id="48"/>
      <w:r>
        <w:t xml:space="preserve">国家发展改革委明确进口原油使用管理有关问题</w:t>
      </w:r>
    </w:p>
    <w:p>
      <w:r>
        <w:t xml:space="preserve">国家发展改革委日前发布《关于进口原油使用管理有关问题的通知》（下称《通知》）。</w:t>
      </w:r>
    </w:p>
    <w:p>
      <w:r>
        <w:t xml:space="preserve">《通知》规定，新增用油企业必须具备拥有一套及以上单系列设计原油加工能力大于200万吨/年（不含）的常减压装置、炼油（单位）综合能耗小于66千克标油/吨、具备完善的产品质量控制制度等条件。同时，新增用油企业必须签订承诺书，承诺严格执行国家炼油产业政策，未经国务院投资主管部门核准一律不得再新建、改扩建炼油装置。此外，《通知》明确，鼓励资源引进，对依法履行审批程序，在境外合法投资石油勘探开发项目并取得实际产量的原油加工企业，可在同等条件下优先使用进口原油。</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国务院印发关于加快发展服务贸易的若干意见"/>
      <w:bookmarkEnd w:id="51"/>
      <w:r>
        <w:t xml:space="preserve">国务院印发《关于加快发展服务贸易的若干意见》</w:t>
      </w:r>
    </w:p>
    <w:p>
      <w:r>
        <w:t xml:space="preserve">国务院近日印发《关于加快发展服务贸易的若干意见》（以下简称《意见》），就加快发展服务贸易作出全面部署。</w:t>
      </w:r>
    </w:p>
    <w:p>
      <w:r>
        <w:t xml:space="preserve">《意见》提出，要充分发挥现代服务业和服务贸易集聚作用，在有条件的地区开展服务贸易创新发展试点，要积极探索信息化背景下新的服务贸易发展模式，打造一批主业突出、竞争力强的大型跨国服务业企业，培育若干具有较强国际影响力的服务品牌，进一步扩大服务业开放。</w:t>
      </w:r>
    </w:p>
    <w:p>
      <w:r>
        <w:t xml:space="preserve">《意见》强调，要充分利用外经贸发展专项资金等政策，加大对服务贸易发展的支持力度，对服务出口实行零税率或免税；鼓励金融机构在风险可控的前提下创新金融产品和服务，政策性金融机构在现有业务范围内加大对服务贸易企业开拓国际市场、开展国际并购等业务的支持力度。</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中国政府采购剔除思科苹果等国外品牌-增加国产产品"/>
      <w:bookmarkEnd w:id="54"/>
      <w:r>
        <w:t xml:space="preserve">中国政府采购剔除思科苹果等国外品牌 增加国产产品</w:t>
      </w:r>
    </w:p>
    <w:p>
      <w:r>
        <w:t xml:space="preserve">中国政府已经将部分全球领先科技品牌从政府采购清单中剔除，并同时又增加了数千款本土公司生产的产品。</w:t>
      </w:r>
    </w:p>
    <w:p>
      <w:r>
        <w:t xml:space="preserve">多家国外科技品牌受到了中国政府此次采购调整的影响，首当其冲的就是思科。对官方数据的分析显示，在2012年中央政府采购中心的清单上，思科的产品占据60款。但是到了2014年底，思科的产品已经从政府采购清单中完全消失。此外，苹果、英特尔旗下安全软件公司McAfee、网络和服务器软件公司Citrix Systems的产品也被剔除。</w:t>
      </w:r>
    </w:p>
    <w:p>
      <w:r>
        <w:t xml:space="preserve">在两年的时间内，中央政府采购中心名单上的商品数量增加了2000多个，目前总数量将近5000个，但增加的这些商品几乎全部为中国自主品牌。而被批准的国外科技产品的数量下滑了三分之一。</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十部委发文鼓励民间资本参与养老服务业发展"/>
      <w:bookmarkEnd w:id="57"/>
      <w:r>
        <w:t xml:space="preserve">十部委发文鼓励民间资本参与养老服务业发展</w:t>
      </w:r>
    </w:p>
    <w:p>
      <w:r>
        <w:t xml:space="preserve">近日，民政部、发展改革委、教育部等十部委联合发布《关于鼓励民间资本参与养老服务业发展的实施意见》（下称《意见》）。</w:t>
      </w:r>
    </w:p>
    <w:p>
      <w:r>
        <w:t xml:space="preserve">《意见》提出鼓励民间资本参与居家和社区养老服务、机构养老服务、养老产业发展的具体举措，并就推进医养融合发展、完善投融资政策、落实税费优惠政策、保障用地需求等作出了相关规定和政策优惠。《意见》支持采取股份制、股份合作制、PPP（政府和民间资本合作）等模式建设或发展养老机构。同时，对民办养老机构提供的育养服务免征营业税。养老机构在资产重组过程中涉及的不动产、土地使用权转让，不征收增值税和营业税。对符合条件的民办福利性、非营利性养老机构取得的收入，按规定免征企业所得税。</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并购"/>
      <w:bookmarkEnd w:id="60"/>
      <w:r>
        <w:t xml:space="preserve">并购</w:t>
      </w:r>
    </w:p>
    <w:p>
      <w:pPr>
        <w:pStyle w:val="Heading3"/>
      </w:pPr>
      <w:bookmarkStart w:id="61" w:name="掌趣科技43亿并购热门手游-腾讯小米间接入股"/>
      <w:bookmarkEnd w:id="61"/>
      <w:r>
        <w:t xml:space="preserve">掌趣科技43亿并购热门手游 腾讯小米间接入股</w:t>
      </w:r>
    </w:p>
    <w:p>
      <w:r>
        <w:t xml:space="preserve">掌趣科技2月16日公布重组方案，拟以总计43亿元的价格并购晶合思动100%股权、天马时空80%股权、上游信息30%股权，并募集10.76亿元配套资金。掌趣科技借此次重组布局休闲、重度ARPG游戏，同时通过业绩对赌方案，有望长期绑定优质游戏开发团队，回避优秀人才流失风险。</w:t>
      </w:r>
    </w:p>
    <w:p>
      <w:r>
        <w:t xml:space="preserve">至此，掌趣科技已经手握《大掌门》、《塔防三国志》等拳头产品，此次通过并购晶合思动、天马时空，将全面覆盖卡牌、重度ARPG、休闲、竞速、射击、体育、策略塔防等主流游戏类型，成为行业产品门类最全的研发、发行商。</w:t>
      </w:r>
    </w:p>
    <w:p>
      <w:r>
        <w:t xml:space="preserve">腾讯旗下的腾讯产业持有晶合思动18%的股权，小米旗下的金星投资持有天马时空10%的股权，二者均为掌趣科技此次重组的非公开发行对象。重组后，腾讯、小米将成为掌趣科技的股东并参与业绩对赌，实质性加强了掌趣与一线平台、渠道的深度合作，通过微信、手机QQ进一步强化公司游戏产品的社交属性。</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春晖股份定增募资33.5亿收购香港通达"/>
      <w:bookmarkEnd w:id="64"/>
      <w:r>
        <w:t xml:space="preserve">春晖股份定增募资33.5亿收购香港通达</w:t>
      </w:r>
    </w:p>
    <w:p>
      <w:r>
        <w:t xml:space="preserve">春晖股份2月16日公布增发预案。公司拟3.32元/股的价格向10位特定对象发行不超过10.09亿股，募资33.5亿元。其中，33亿元用于购买香港通达100%股权，0.5亿元用于补充流动资金。</w:t>
      </w:r>
    </w:p>
    <w:p>
      <w:r>
        <w:t xml:space="preserve">亚通达设备自成立以来一直致力于为轨道交通领域客户提供给水卫生系统、备用电源系统和制动闸片等智能、节能、环保解决方案。香港通达2013年、2014年净利润分别为1.46亿元、2.69亿元。通达集团承诺香港通达2015年至2017年扣非后净利润分别不低于3.12亿元、3.9亿元和4.5亿元，三年合计净利润达到11.52亿元，复合增长率接近30%。</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金亚科技22亿收购游戏公司天象互动"/>
      <w:bookmarkEnd w:id="67"/>
      <w:r>
        <w:t xml:space="preserve">金亚科技22亿收购游戏公司天象互动</w:t>
      </w:r>
    </w:p>
    <w:p>
      <w:r>
        <w:t xml:space="preserve">金亚科技日前披露重组预案，公司拟以13.76元/股的价格，合计发行8793.6万股，并支付现金9.9亿元，用于收购游戏公司成都天象互动科技有限公司100%股权。同时，公司计划通过非公开发行募集配套资金5.5亿元。</w:t>
      </w:r>
    </w:p>
    <w:p>
      <w:r>
        <w:t xml:space="preserve">根据方案，天象互动100%股权预估值为22.5亿元，预估值增值率1487%。天象互动目前主营业务为移动游戏的开发和运营，目前拥有包括《全民宝贝系列》、《三国威力加强版系列》、《赵云战纪》等多款移动游戏。</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新开普3.2亿收购迪科远望"/>
      <w:bookmarkEnd w:id="70"/>
      <w:r>
        <w:t xml:space="preserve">新开普3.2亿收购迪科远望</w:t>
      </w:r>
    </w:p>
    <w:p>
      <w:r>
        <w:t xml:space="preserve">新开普近日公告，将通过发行股份及支付现金的方式购买迪科远望100%股权，上述股权作价为3.2亿元。</w:t>
      </w:r>
    </w:p>
    <w:p>
      <w:r>
        <w:t xml:space="preserve">交易双方承诺，迪科远望2015年扣非后净利润不低于2000万元，2015年和2016年累计实现扣非后净利润不低于4700万元。</w:t>
      </w:r>
    </w:p>
    <w:p>
      <w:r>
        <w:t xml:space="preserve">经过多年经营积累，迪科远望在智能一卡通平台系统、应用子系统及配套智能终端等方面，已拥有深厚的技术沉淀和丰富的产品积累。截至2014年7月9日，迪科远望在北京地区本科院校、“211工程”院校、“985工程”院校校园一卡通市场的占有率分别达到54%、58%和50%。</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三精制药医药工业类资产全部注入哈药股份"/>
      <w:bookmarkEnd w:id="73"/>
      <w:r>
        <w:t xml:space="preserve">三精制药医药工业类资产全部注入哈药股份</w:t>
      </w:r>
    </w:p>
    <w:p>
      <w:r>
        <w:t xml:space="preserve">为解决与旗下公司三精制药的同业竞争问题，哈药股份2月17日抛出了重组方案。两家公司将通过资产置换的方式重新定位原有业务，其中三精制药将成为医药商业平台，而哈药股份则注入三精制药全部医药工业类资产。</w:t>
      </w:r>
    </w:p>
    <w:p>
      <w:r>
        <w:t xml:space="preserve">根据公告，三精制药将以拥有的全部医药工业类资产及负债，与哈药股份持有的哈药集团医药有限公司98.5%股权进行置换，相关人员随资产转移。根据评估，三精制药拟出售资产评估值为22.75亿元，拟收购资产评估值为19.85亿元，差额部分由哈药股份以现金等方式向三精制药补足。</w:t>
      </w:r>
    </w:p>
    <w:p>
      <w:r>
        <w:t xml:space="preserve">此次重组完成后，三精制药将不再从事医药工业业务，公司主营业务将变更为医药批发、医药零售等医药商业业务。另外，三精制药将整合医药公司，实现医药商业业务的全面发展。</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第444期 - 2015年02月27日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fbad14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62" Target="http://epaper.stcn.com/paper/zqsb/html/2015-02/16/content_658918.htm" TargetMode="External" /><Relationship Type="http://schemas.openxmlformats.org/officeDocument/2006/relationships/hyperlink" Id="rId65" Target="http://epaper.stcn.com/paper/zqsb/html/2015-02/16/content_658919.htm" TargetMode="External" /><Relationship Type="http://schemas.openxmlformats.org/officeDocument/2006/relationships/hyperlink" Id="rId68" Target="http://epaper.stcn.com/paper/zqsb/html/2015-02/16/content_658922.htm" TargetMode="External" /><Relationship Type="http://schemas.openxmlformats.org/officeDocument/2006/relationships/hyperlink" Id="rId71" Target="http://epaper.stcn.com/paper/zqsb/html/2015-02/16/content_658923.htm" TargetMode="External" /><Relationship Type="http://schemas.openxmlformats.org/officeDocument/2006/relationships/hyperlink" Id="rId74" Target="http://epaper.stcn.com/paper/zqsb/html/2015-02/17/content_659458.htm" TargetMode="External" /><Relationship Type="http://schemas.openxmlformats.org/officeDocument/2006/relationships/hyperlink" Id="rId39" Target="http://gss.mof.gov.cn/zhengwuxinxi/zhengcefabu/201502/t20150217_1194333.html" TargetMode="External" /><Relationship Type="http://schemas.openxmlformats.org/officeDocument/2006/relationships/hyperlink" Id="rId55" Target="http://money.163.com/15/0226/08/AJCACJ6N00253B0H.html" TargetMode="External" /><Relationship Type="http://schemas.openxmlformats.org/officeDocument/2006/relationships/hyperlink" Id="rId28" Target="http://shanghai.pbc.gov.cn/publish/fzh_shanghai/4187/2015/20150212172843817617313/20150212172843817617313_.html" TargetMode="External" /><Relationship Type="http://schemas.openxmlformats.org/officeDocument/2006/relationships/hyperlink" Id="rId21" Target="http://www.charltonslaw.com.cn/china-news-alerts-cn-issue-444/" TargetMode="External" /><Relationship Type="http://schemas.openxmlformats.org/officeDocument/2006/relationships/hyperlink" Id="rId35" Target="http://www.circ.gov.cn/web/site0/tab5168/info3952076.htm" TargetMode="External" /><Relationship Type="http://schemas.openxmlformats.org/officeDocument/2006/relationships/hyperlink" Id="rId49" Target="http://www.gov.cn/xinwen/2015-02/16/content_2820157.htm" TargetMode="External" /><Relationship Type="http://schemas.openxmlformats.org/officeDocument/2006/relationships/hyperlink" Id="rId52" Target="http://www.gov.cn/zhengce/content/2015-02/14/content_9482.htm" TargetMode="External" /><Relationship Type="http://schemas.openxmlformats.org/officeDocument/2006/relationships/hyperlink" Id="rId58" Target="http://www.mca.gov.cn/article/zwgk/fvfg/shflhshsw/201502/20150200777798.shtml" TargetMode="External" /><Relationship Type="http://schemas.openxmlformats.org/officeDocument/2006/relationships/hyperlink" Id="rId46" Target="http://www.miit.gov.cn/n11293472/n11293832/n12843926/n13917012/16454895.html" TargetMode="External" /><Relationship Type="http://schemas.openxmlformats.org/officeDocument/2006/relationships/hyperlink" Id="rId31" Target="http://www.safe.gov.cn/resources/wcmpages//wps/wcm/connect/safe_web_store/safe_web/zcfg/gjszywhtj/ywt/node_zcfg_ywt_store/93e29a00474a1de8ba9cbaeee2a1794d/" TargetMode="External" /><Relationship Type="http://schemas.openxmlformats.org/officeDocument/2006/relationships/hyperlink" Id="rId25" Target="http://www.sdpc.gov.cn/zcfb/zcfbtz/201502/t20150215_664918.html" TargetMode="External" /><Relationship Type="http://schemas.openxmlformats.org/officeDocument/2006/relationships/hyperlink" Id="rId43" Target="http://zfxxgk.nea.gov.cn/auto85/201502/t20150216_1890.htm"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62" Target="http://epaper.stcn.com/paper/zqsb/html/2015-02/16/content_658918.htm" TargetMode="External" /><Relationship Type="http://schemas.openxmlformats.org/officeDocument/2006/relationships/hyperlink" Id="rId65" Target="http://epaper.stcn.com/paper/zqsb/html/2015-02/16/content_658919.htm" TargetMode="External" /><Relationship Type="http://schemas.openxmlformats.org/officeDocument/2006/relationships/hyperlink" Id="rId68" Target="http://epaper.stcn.com/paper/zqsb/html/2015-02/16/content_658922.htm" TargetMode="External" /><Relationship Type="http://schemas.openxmlformats.org/officeDocument/2006/relationships/hyperlink" Id="rId71" Target="http://epaper.stcn.com/paper/zqsb/html/2015-02/16/content_658923.htm" TargetMode="External" /><Relationship Type="http://schemas.openxmlformats.org/officeDocument/2006/relationships/hyperlink" Id="rId74" Target="http://epaper.stcn.com/paper/zqsb/html/2015-02/17/content_659458.htm" TargetMode="External" /><Relationship Type="http://schemas.openxmlformats.org/officeDocument/2006/relationships/hyperlink" Id="rId39" Target="http://gss.mof.gov.cn/zhengwuxinxi/zhengcefabu/201502/t20150217_1194333.html" TargetMode="External" /><Relationship Type="http://schemas.openxmlformats.org/officeDocument/2006/relationships/hyperlink" Id="rId55" Target="http://money.163.com/15/0226/08/AJCACJ6N00253B0H.html" TargetMode="External" /><Relationship Type="http://schemas.openxmlformats.org/officeDocument/2006/relationships/hyperlink" Id="rId28" Target="http://shanghai.pbc.gov.cn/publish/fzh_shanghai/4187/2015/20150212172843817617313/20150212172843817617313_.html" TargetMode="External" /><Relationship Type="http://schemas.openxmlformats.org/officeDocument/2006/relationships/hyperlink" Id="rId21" Target="http://www.charltonslaw.com.cn/china-news-alerts-cn-issue-444/" TargetMode="External" /><Relationship Type="http://schemas.openxmlformats.org/officeDocument/2006/relationships/hyperlink" Id="rId35" Target="http://www.circ.gov.cn/web/site0/tab5168/info3952076.htm" TargetMode="External" /><Relationship Type="http://schemas.openxmlformats.org/officeDocument/2006/relationships/hyperlink" Id="rId49" Target="http://www.gov.cn/xinwen/2015-02/16/content_2820157.htm" TargetMode="External" /><Relationship Type="http://schemas.openxmlformats.org/officeDocument/2006/relationships/hyperlink" Id="rId52" Target="http://www.gov.cn/zhengce/content/2015-02/14/content_9482.htm" TargetMode="External" /><Relationship Type="http://schemas.openxmlformats.org/officeDocument/2006/relationships/hyperlink" Id="rId58" Target="http://www.mca.gov.cn/article/zwgk/fvfg/shflhshsw/201502/20150200777798.shtml" TargetMode="External" /><Relationship Type="http://schemas.openxmlformats.org/officeDocument/2006/relationships/hyperlink" Id="rId46" Target="http://www.miit.gov.cn/n11293472/n11293832/n12843926/n13917012/16454895.html" TargetMode="External" /><Relationship Type="http://schemas.openxmlformats.org/officeDocument/2006/relationships/hyperlink" Id="rId31" Target="http://www.safe.gov.cn/resources/wcmpages//wps/wcm/connect/safe_web_store/safe_web/zcfg/gjszywhtj/ywt/node_zcfg_ywt_store/93e29a00474a1de8ba9cbaeee2a1794d/" TargetMode="External" /><Relationship Type="http://schemas.openxmlformats.org/officeDocument/2006/relationships/hyperlink" Id="rId25" Target="http://www.sdpc.gov.cn/zcfb/zcfbtz/201502/t20150215_664918.html" TargetMode="External" /><Relationship Type="http://schemas.openxmlformats.org/officeDocument/2006/relationships/hyperlink" Id="rId43" Target="http://zfxxgk.nea.gov.cn/auto85/201502/t20150216_1890.htm"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第444期 - 2015年02月27日</dc:title>
  <dc:creator/>
</cp:coreProperties>
</file>