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第448期</w:t>
      </w:r>
      <w:r>
        <w:t xml:space="preserve"> </w:t>
      </w:r>
      <w:r>
        <w:t xml:space="preserve">-</w:t>
      </w:r>
      <w:r>
        <w:t xml:space="preserve"> </w:t>
      </w:r>
      <w:r>
        <w:t xml:space="preserve">2015年03月28日</w:t>
      </w:r>
    </w:p>
    <w:p>
      <w:hyperlink r:id="rId21">
        <w:r>
          <w:rPr>
            <w:rStyle w:val="Link"/>
          </w:rPr>
          <w:t xml:space="preserve">网络版</w:t>
        </w:r>
      </w:hyperlink>
    </w:p>
    <w:p>
      <w:pPr>
        <w:pStyle w:val="Heading1"/>
      </w:pPr>
      <w:bookmarkStart w:id="22" w:name="法讯中国第448期"/>
      <w:bookmarkEnd w:id="22"/>
      <w:r>
        <w:t xml:space="preserve">法讯中国第448期</w:t>
      </w:r>
    </w:p>
    <w:p>
      <w:pPr>
        <w:pStyle w:val="Heading2"/>
      </w:pPr>
      <w:bookmarkStart w:id="23" w:name="资本市场"/>
      <w:bookmarkEnd w:id="23"/>
      <w:r>
        <w:t xml:space="preserve">资本市场</w:t>
      </w:r>
    </w:p>
    <w:p>
      <w:pPr>
        <w:pStyle w:val="Heading3"/>
      </w:pPr>
      <w:bookmarkStart w:id="24" w:name="中国证券登记结算有限责任公司发布结算银行港股通跨境资金结算业务指引"/>
      <w:bookmarkEnd w:id="24"/>
      <w:r>
        <w:t xml:space="preserve">中国证券登记结算有限责任公司发布结算银行港股通跨境资金结算业务指引</w:t>
      </w:r>
    </w:p>
    <w:p>
      <w:r>
        <w:t xml:space="preserve">港股通换汇业务已试运行三个月，拟转入常规运行阶段，为此，2015年3月17日，中国证券登记结算有限责任公司发布《结算银行港股通跨境资金结算业务指引》（《指引》），自发布之日起实施。</w:t>
      </w:r>
    </w:p>
    <w:p>
      <w:r>
        <w:t xml:space="preserve">《指引》明确，港股通跨境资金结算业务分为两类：一是交易、非交易类资金及相关税费的换汇与资金划付业务；二是与香港中央结算有限公司进行的交易及风控等业务的资金交收。</w:t>
      </w:r>
    </w:p>
    <w:p>
      <w:r>
        <w:t xml:space="preserve">《指引》还规定，结算银行须经本公司批准获得港股通跨境资金结算业务资格后，方能开展相关业务。其中，资金划拨业务通过港股通结算银行上海及香港分支机构办理，换汇业务通过港股通结算银行香港分支机构办理，与香港结算进行的资金交收等业务通过本公司指定的港股通结算银行香港分支机构办理。</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债券交易净额清算业务质押式回购质押券管理规程印发"/>
      <w:bookmarkEnd w:id="27"/>
      <w:r>
        <w:t xml:space="preserve">债券交易净额清算业务质押式回购质押券管理规程印发</w:t>
      </w:r>
    </w:p>
    <w:p>
      <w:r>
        <w:t xml:space="preserve">为明确银行间市场债券交易净额清算业务的质押券处理流程，2015年3月16日，银行间市场清算所股份有限公司印发《债券交易净额清算业务质押式回购质押券管理规程》（《规程》），自发布之日起施行。</w:t>
      </w:r>
    </w:p>
    <w:p>
      <w:r>
        <w:t xml:space="preserve">《规程》明确，本办法所指“质押券”，是指在债券净额清算质押式回购业务中，作为正回购方的清算参与者提供的，用于担保质押式回购到期履约的债券。</w:t>
      </w:r>
    </w:p>
    <w:p>
      <w:r>
        <w:t xml:space="preserve">《规程》还指出，上海清算所债券交易净额清算质押式回购业务可接受的合格质押券需满足以下条件之一：（一）符合中国人民银行制定的中央银行合格抵押品相关条件、且在上海清算所登记托管的债券；（二）在上海清算所登记托管的债券，且满足以下标准：1.单一证券发行总面额不小于5亿元；2.不含有可赎回或回售、可转股或转债、可提前或分期偿还等含权条款；3.未被上海清算所评定为 “高危级”。（三）上海清算所认可的其他证券。</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2"/>
      </w:pPr>
      <w:bookmarkStart w:id="30" w:name="保险"/>
      <w:bookmarkEnd w:id="30"/>
      <w:r>
        <w:t xml:space="preserve">保险</w:t>
      </w:r>
    </w:p>
    <w:p>
      <w:pPr>
        <w:pStyle w:val="Heading3"/>
      </w:pPr>
      <w:bookmarkStart w:id="31" w:name="保监会积极推进商业车险改革试点"/>
      <w:bookmarkEnd w:id="31"/>
      <w:r>
        <w:t xml:space="preserve">保监会积极推进商业车险改革试点</w:t>
      </w:r>
    </w:p>
    <w:p>
      <w:r>
        <w:t xml:space="preserve">保监会近日印发《深化商业车险条款费率管理制度改革试点工作方案》（下称《方案》）。</w:t>
      </w:r>
    </w:p>
    <w:p>
      <w:r>
        <w:t xml:space="preserve">《方案》明确，财产保险公司负责自主确定商业车险条款，科学厘定商业车险费率，依法报批商业车险条款费率，建立商业车险条款费率监测调整机制。同时，《方案》确定黑龙江、山东、青岛、广西、陕西、重庆等六个地区为商业车险改革试点地区，明确从2015年4月1日起，经营商业车险业务的财产保险公司可以根据《方案》要求申报商业车险条款费率。此外，经中国保监会批准，试点地区财产保险机构可使用新的商业车险条款费率。原商业车险条款费率停止使用。</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3"/>
      </w:pPr>
      <w:bookmarkStart w:id="34" w:name="保监会印发农业保险承保理赔管理暂行办法"/>
      <w:bookmarkEnd w:id="34"/>
      <w:r>
        <w:t xml:space="preserve">保监会印发《农业保险承保理赔管理暂行办法》</w:t>
      </w:r>
    </w:p>
    <w:p>
      <w:r>
        <w:t xml:space="preserve">保监会近日印发《农业保险承保理赔管理暂行办法》（下称《办法》），自2015年4月1日起施行，实施期限为三年。</w:t>
      </w:r>
    </w:p>
    <w:p>
      <w:r>
        <w:t xml:space="preserve">《办法》适用于种植业保险和养殖业保险业务，并对保险公司承保、理赔、协办和内控等关键环节确立规范，提出不少于3天的公示期、单证到户、24小时内现场查勘、将无害化处理作为理赔前提以及10日内支付赔款等要求。《办法》还规定，保险公司和组织投保的单位应确保农户的知情权和自主权，不得欺骗误导农户投保，不得以不正当手段强迫农户投保或限制农户投保。保险公司及其工作人员不得向投保人、被保险人承诺给予保险合同约定以外的保险费回扣或者其他利益。</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2"/>
      </w:pPr>
      <w:bookmarkStart w:id="37" w:name="税收"/>
      <w:bookmarkEnd w:id="37"/>
      <w:r>
        <w:t xml:space="preserve">税收</w:t>
      </w:r>
    </w:p>
    <w:p>
      <w:pPr>
        <w:pStyle w:val="Heading3"/>
      </w:pPr>
      <w:bookmarkStart w:id="38" w:name="国税总局修订葡萄酒消费税管理办法"/>
      <w:bookmarkEnd w:id="38"/>
      <w:r>
        <w:t xml:space="preserve">国税总局修订葡萄酒消费税管理办法</w:t>
      </w:r>
    </w:p>
    <w:p>
      <w:r>
        <w:t xml:space="preserve">近日，国税总局修订《葡萄酒消费税管理办法》（以下简称《办法》），取消对葡萄酒消费税实行凭《葡萄酒购货证明单》退税的审批管理方式，改以抵扣办法解决葡萄酒消费税重复征税问题。</w:t>
      </w:r>
    </w:p>
    <w:p>
      <w:r>
        <w:t xml:space="preserve">修订后的《办法》明确了纳税人抵扣的凭证种类和抵扣方法。纳税人以进口、外购葡萄酒连续生产应税葡萄酒，分别依据海关进口消费税专用缴款书和增值税专用发票，按照现行政策规定从葡萄酒消费税应纳税额中扣除所耗用应税葡萄酒已纳消费税税款。以前退税需要的《葡萄酒购货证明单》自2015年5月1日起停止领用和开具，在此之前已领用尚未开具的要退回主管税务机关。4月30日（含）前已开具的证明单要在7月31日前办理完毕葡萄酒消费税退税相关事宜。修订后的《办法》自2015年5月1日起施行。</w:t>
      </w:r>
    </w:p>
    <w:p>
      <w:hyperlink r:id="rId39">
        <w:r>
          <w:rPr>
            <w:rStyle w:val="Link"/>
          </w:rPr>
          <w:t xml:space="preserve">来源</w:t>
        </w:r>
      </w:hyperlink>
      <w:r>
        <w:t xml:space="preserve"> </w:t>
      </w:r>
      <w:r>
        <w:t xml:space="preserve">(</w:t>
      </w:r>
      <w:hyperlink r:id="rId40">
        <w:r>
          <w:rPr>
            <w:rStyle w:val="Link"/>
          </w:rPr>
          <w:t xml:space="preserve">副本</w:t>
        </w:r>
      </w:hyperlink>
      <w:r>
        <w:t xml:space="preserve">)</w:t>
      </w:r>
    </w:p>
    <w:p>
      <w:pPr>
        <w:pStyle w:val="Heading3"/>
      </w:pPr>
      <w:bookmarkStart w:id="41" w:name="财政部明确企业改制重组有关土地增值税政策"/>
      <w:bookmarkEnd w:id="41"/>
      <w:r>
        <w:t xml:space="preserve">财政部明确企业改制重组有关土地增值税政策</w:t>
      </w:r>
    </w:p>
    <w:p>
      <w:r>
        <w:t xml:space="preserve">近日，财政部、国税总局下发《关于企业改制重组有关土地增值税政策的通知》, 本通知执行期限为2015年1月1日至2017年12月31日。</w:t>
      </w:r>
    </w:p>
    <w:p>
      <w:r>
        <w:t xml:space="preserve">《通知》要求，非公司制企业整体改建为有限责任（股份有限）公司，有限责任（股份有限）公司整体改建为股份有限（有限责任）公司，对改建前的企业将国有土地、房屋权属转移、变更到改建后的企业，暂不征土地增值税；两个或两个以上企业合并为一个企业，且原企业投资主体存续的，对原企业将国有土地、房屋权属转移、变更到合并后的企业，暂不征土地增值税；企业分设为两个或两个以上与原企业投资主体相同的企业，对原企业将国有土地、房屋权属转移、变更到分立后的企业，暂不征土地增值税；单位、个人在改制重组时以国有土地、房屋进行投资，对其将国有土地、房屋权属转移、变更到被投资的企业，暂不征土地增值税。此次相关政策不适用于房地产开发企业。</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3"/>
      </w:pPr>
      <w:bookmarkStart w:id="44" w:name="国税总局加强对外支付费用转让定价管理"/>
      <w:bookmarkEnd w:id="44"/>
      <w:r>
        <w:t xml:space="preserve">国税总局加强对外支付费用转让定价管理</w:t>
      </w:r>
    </w:p>
    <w:p>
      <w:r>
        <w:t xml:space="preserve">日前，国税总局发布《关于企业向境外关联方支付费用有关企业所得税问题的公告》，进一步明确企业向境外关联方支付费用的基本原则、管理要求以及税务机关追溯调整年限等。</w:t>
      </w:r>
    </w:p>
    <w:p>
      <w:r>
        <w:t xml:space="preserve">《公告》明确，企业向境外关联方支付费用应符合独立交易原则，并按税务机关要求提供其与关联方签订的合同，以及证明交易真实发生并符合独立交易原则的资料。《公告》列明不符合独立交易原则支付费用四种情形：一是向未履行功能、承担风险，无实质性经营活动的境外关联方支付费用；二是就关联方提供的不能给企业带来直接或间接经济利益的劳务支付服务费；三是向仅拥有无形资产法律所有权而未对其价值创造作出贡献的关联方支付特许权使用费；四是因融资上市活动所产生的附带利益向境外关联方支付特许权使用费。</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3"/>
      </w:pPr>
      <w:bookmarkStart w:id="47" w:name="财政部等四部门明确鼓励集成电路产业发展企业所得税政策"/>
      <w:bookmarkEnd w:id="47"/>
      <w:r>
        <w:t xml:space="preserve">财政部等四部门明确鼓励集成电路产业发展企业所得税政策</w:t>
      </w:r>
    </w:p>
    <w:p>
      <w:r>
        <w:t xml:space="preserve">日前，财政部等四部门联合印发《关于进一步鼓励集成电路产业发展企业所得税政策的通知》（下称《通知》），旨在推动科技创新和产业结构升级，促进信息技术产业发展。</w:t>
      </w:r>
    </w:p>
    <w:p>
      <w:r>
        <w:t xml:space="preserve">《通知》明确，符合条件的集成电路封装、测试企业以及集成电路关键专用材料生产企业、集成电路专用设备生产企业，在2017年（含）前实现获利的，自获利年度起，第一年至第二年免企业所得税，第三年至第五年按25％法定税率减半征收，并享受至期满为止；2017年前未实现获利的，自2017年起计算优惠期，享受至期满为止。《通知》对上述企业须符合的条件作了限定。符合本通知规定条件的企业应在年度终了之日起4个月内，凭省级相关部门出具的证明向主管税务机关办理减免税手续。《通知》自2014年1月1日起实行。</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2"/>
      </w:pPr>
      <w:bookmarkStart w:id="50" w:name="行业"/>
      <w:bookmarkEnd w:id="50"/>
      <w:r>
        <w:t xml:space="preserve">行业</w:t>
      </w:r>
    </w:p>
    <w:p>
      <w:pPr>
        <w:pStyle w:val="Heading3"/>
      </w:pPr>
      <w:bookmarkStart w:id="51" w:name="煤炭深加工示范工程标定管理办法发布"/>
      <w:bookmarkEnd w:id="51"/>
      <w:r>
        <w:t xml:space="preserve">煤炭深加工示范工程标定管理办法发布</w:t>
      </w:r>
    </w:p>
    <w:p>
      <w:r>
        <w:t xml:space="preserve">国家能源局日前发布《煤炭深加工示范工程标定管理办法（试行）》（以下简称《办法》），自发布之日起施行。</w:t>
      </w:r>
    </w:p>
    <w:p>
      <w:r>
        <w:t xml:space="preserve">《办法》所称示范工程是指由国家核准的，以新型煤化工技术和装备为手段，以煤为原料生产多种清洁燃料、提质煤以及联产热能、电力等产品的煤炭深加工项目。《办法》对标定目的、标定内容、标定管理、标定前准备工作、现场标定工作等内容进行了规范。其中，标定内容为：通过系统物料平衡计算，测定示范工程的物耗、水耗以及三废排放等主要指标。通过系统能量平衡计算，测定示范工程的能耗及能源转化效率。此外，标定前示范工程需投产运行一年以上，且应至少连续稳定运行30天以上，标定期间装置需保持稳定运行状态，负荷至少达到设计能力的80%以上。</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3"/>
      </w:pPr>
      <w:bookmarkStart w:id="54" w:name="能源局发文促煤炭工业科学发展"/>
      <w:bookmarkEnd w:id="54"/>
      <w:r>
        <w:t xml:space="preserve">能源局发文促煤炭工业科学发展</w:t>
      </w:r>
    </w:p>
    <w:p>
      <w:r>
        <w:t xml:space="preserve">近日，国家能源局发布《关于促进煤炭工业科学发展的指导意见》（以下简称《意见》）。</w:t>
      </w:r>
    </w:p>
    <w:p>
      <w:r>
        <w:t xml:space="preserve">《意见》要求，优化煤炭开发布局。今后一段时期，东部地区原则上不再新建煤矿项目；中部地区（含东北）保持合理开发强度，按照“退一建一”模式，适度建设资源枯竭煤矿生产接续项目；西部地区加大资源开发与生态环境保护统筹协调力度，重点围绕以电力外送为主的大型煤电基地和现代煤化工项目用煤需要，在充分利用现有煤矿生产能力的前提下，新建煤矿项目。同时，以大型煤炭基地为依托，稳步建设大中型现代化煤矿，积极培育一批大中型煤炭骨干企业。严格新建煤矿准入，严禁核准新建30万吨/年以下煤矿、90万吨/年以下煤与瓦斯突出矿井。</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出入境检验检疫报检企业管理办法发布"/>
      <w:bookmarkEnd w:id="57"/>
      <w:r>
        <w:t xml:space="preserve">《出入境检验检疫报检企业管理办法》发布</w:t>
      </w:r>
    </w:p>
    <w:p>
      <w:r>
        <w:t xml:space="preserve">近日，国家质检总局发布《出入境检验检疫报检企业管理办法》（下称《办法》），自2015年4月1日起施行。</w:t>
      </w:r>
    </w:p>
    <w:p>
      <w:r>
        <w:t xml:space="preserve">《办法》所称报检企业，包括自理报检企业和代理报检企业。报检企业办理报检业务应当持相关材料向检验检疫部门备案，材料齐全、符合要求的，检验检疫部门应当为报检企业办理备案手续，核发报检企业及报检人员备案号。《办法》明确，检验检疫部门对报检企业实施信用管理和分类管理，对报检人员实施报检差错记分管理。报检人员的差错记分情况列入报检企业的信用记录。检验检疫部门可以公布报检企业的信用等级、分类管理类别和报检差错记录情况。</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2"/>
      </w:pPr>
      <w:bookmarkStart w:id="60" w:name="wto"/>
      <w:bookmarkEnd w:id="60"/>
      <w:r>
        <w:t xml:space="preserve">WTO</w:t>
      </w:r>
    </w:p>
    <w:p>
      <w:pPr>
        <w:pStyle w:val="Heading3"/>
      </w:pPr>
      <w:bookmarkStart w:id="61" w:name="欧盟对中国冷轧不锈钢板征收反倾销税"/>
      <w:bookmarkEnd w:id="61"/>
      <w:r>
        <w:t xml:space="preserve">欧盟对中国冷轧不锈钢板征收反倾销税</w:t>
      </w:r>
    </w:p>
    <w:p>
      <w:r>
        <w:t xml:space="preserve">欧盟委员会25日宣布，将从26日起对进口自中国大陆及台湾的冷轧不锈钢板征收为期6个月的临时反倾销税，税率从10.9%到25.2%不等。</w:t>
      </w:r>
    </w:p>
    <w:p>
      <w:r>
        <w:t xml:space="preserve">欧洲钢铁工业联合会称，自2013年以来，中国大陆和台湾的钢铁企业存在低价倾销行为，一共向欧盟出口总价值6.2亿欧元的冷轧不锈钢板，占据欧盟市场17%的份额。据悉，欧盟衡量中国的冷轧不锈钢板是否存在倾销，是以美国钢铁业者的价格标准作为参照，价格包含生产成本、销售渠道费用和合理利润。</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2"/>
      </w:pPr>
      <w:bookmarkStart w:id="64" w:name="并购"/>
      <w:bookmarkEnd w:id="64"/>
      <w:r>
        <w:t xml:space="preserve">并购</w:t>
      </w:r>
    </w:p>
    <w:p>
      <w:pPr>
        <w:pStyle w:val="Heading3"/>
      </w:pPr>
      <w:bookmarkStart w:id="65" w:name="荣信股份29亿收购梦网科技"/>
      <w:bookmarkEnd w:id="65"/>
      <w:r>
        <w:t xml:space="preserve">荣信股份29亿收购梦网科技</w:t>
      </w:r>
    </w:p>
    <w:p>
      <w:r>
        <w:t xml:space="preserve">荣信股份29亿元的定增草案3月26日出炉。公司拟收购梦网科技100%股权。</w:t>
      </w:r>
    </w:p>
    <w:p>
      <w:r>
        <w:t xml:space="preserve">根据预案，梦网科技100%股权整体作价29.05亿元，增值率为1851%。荣信股份将通过非公开发行股份2.79亿股，支付对价22.17亿元，以配套募集资金支付现金对价6.89亿元。</w:t>
      </w:r>
    </w:p>
    <w:p>
      <w:r>
        <w:t xml:space="preserve">荣信股份的非公开发行对象包括梦网科技的9名经营管理团队、11名财务投资者和机构以及公司控股股东的一致行动人松禾成长。</w:t>
      </w:r>
    </w:p>
    <w:p>
      <w:hyperlink r:id="rId66">
        <w:r>
          <w:rPr>
            <w:rStyle w:val="Link"/>
          </w:rPr>
          <w:t xml:space="preserve">来源</w:t>
        </w:r>
      </w:hyperlink>
      <w:r>
        <w:t xml:space="preserve"> </w:t>
      </w:r>
      <w:r>
        <w:t xml:space="preserve">(</w:t>
      </w:r>
      <w:hyperlink r:id="rId67">
        <w:r>
          <w:rPr>
            <w:rStyle w:val="Link"/>
          </w:rPr>
          <w:t xml:space="preserve">副本</w:t>
        </w:r>
      </w:hyperlink>
      <w:r>
        <w:t xml:space="preserve">)</w:t>
      </w:r>
    </w:p>
    <w:p>
      <w:pPr>
        <w:pStyle w:val="Heading3"/>
      </w:pPr>
      <w:bookmarkStart w:id="68" w:name="科冕木业互联网大并购凸显三位一体战略布局"/>
      <w:bookmarkEnd w:id="68"/>
      <w:r>
        <w:t xml:space="preserve">科冕木业互联网大并购，凸显三位一体战略布局</w:t>
      </w:r>
    </w:p>
    <w:p>
      <w:r>
        <w:t xml:space="preserve">科冕木业公告了重大资产重组方案，公司拟通过发行股份及支付现金的方式收购妙趣横生95%的股权以及雷尚科技、Avazu Inc.和上海麦橙的100%股权。依据公告，上述四个交易标的的合计交易价格为35.49亿元，加上在今年1月公告的用6亿元现金收购的深圳为爱普100%股权，在停牌期间科冕木业共收购41.49亿元资产。从系列公告中可以看出，重组后的科冕木业资产分为三块：网络游戏研发运营平台、移动互联网终端应用分发平台和互联网广告推送平台。</w:t>
      </w:r>
    </w:p>
    <w:p>
      <w:r>
        <w:t xml:space="preserve">在上述收购的资产中，妙趣横生和雷尚科技是国内一流的移动网络游戏开发和运营商。其中妙趣横生已成功开发运行了《神之刃》和《十万个冷笑话》两款著名的移动网络游戏，是目前国内为数不多的能够引领网络游戏技术发展方向的游戏研发商之一；雷尚科技则是国内领先的、并且是少数几家专注于军事类SLG策略游戏的网络游戏开发商之一，在开发军事类SLG策略游戏方面具有独特的优势，公司开发的具有代表性的游戏产品包括《火力全开HD》和《坦克风云》等。</w:t>
      </w:r>
    </w:p>
    <w:p>
      <w:hyperlink r:id="rId69">
        <w:r>
          <w:rPr>
            <w:rStyle w:val="Link"/>
          </w:rPr>
          <w:t xml:space="preserve">来源</w:t>
        </w:r>
      </w:hyperlink>
      <w:r>
        <w:t xml:space="preserve"> </w:t>
      </w:r>
      <w:r>
        <w:t xml:space="preserve">(</w:t>
      </w:r>
      <w:hyperlink r:id="rId70">
        <w:r>
          <w:rPr>
            <w:rStyle w:val="Link"/>
          </w:rPr>
          <w:t xml:space="preserve">副本</w:t>
        </w:r>
      </w:hyperlink>
      <w:r>
        <w:t xml:space="preserve">)</w:t>
      </w:r>
    </w:p>
    <w:p>
      <w:pPr>
        <w:pStyle w:val="Heading3"/>
      </w:pPr>
      <w:bookmarkStart w:id="71" w:name="上海梅林置入饲料资产-打造肉业上下游一体化"/>
      <w:bookmarkEnd w:id="71"/>
      <w:r>
        <w:t xml:space="preserve">上海梅林置入饲料资产 打造肉业上下游一体化</w:t>
      </w:r>
    </w:p>
    <w:p>
      <w:r>
        <w:t xml:space="preserve">上海梅林3月27日公布资产置换方案，拟向实际控制人光明食品（集团）有限公司旗下全资子公司上海牛奶（集团）有限公司、上海农场、川东农场等购买多项资产，同时拟向第一大股东出售上海正广和饮用水有限公司100%股权。</w:t>
      </w:r>
    </w:p>
    <w:p>
      <w:r>
        <w:t xml:space="preserve">根据方案，上海梅林拟向上海牛奶（集团）有限公司（以下简称“牛奶集团”）收购肉牛养殖业务资产、食品流通业务资产、饲料业务资产、相关的技术服务类资产及上海市万荣路467号40-43幢房产；此外，还拟向上海市上海农场、上海市川东农场收购下属生猪养殖业务资产。</w:t>
      </w:r>
    </w:p>
    <w:p>
      <w:hyperlink r:id="rId72">
        <w:r>
          <w:rPr>
            <w:rStyle w:val="Link"/>
          </w:rPr>
          <w:t xml:space="preserve">来源</w:t>
        </w:r>
      </w:hyperlink>
      <w:r>
        <w:t xml:space="preserve"> </w:t>
      </w:r>
      <w:r>
        <w:t xml:space="preserve">(</w:t>
      </w:r>
      <w:hyperlink r:id="rId73">
        <w:r>
          <w:rPr>
            <w:rStyle w:val="Link"/>
          </w:rPr>
          <w:t xml:space="preserve">副本</w:t>
        </w:r>
      </w:hyperlink>
      <w:r>
        <w:t xml:space="preserve">)</w:t>
      </w:r>
    </w:p>
    <w:p>
      <w:pPr>
        <w:pStyle w:val="Heading2"/>
      </w:pPr>
      <w:bookmarkStart w:id="74" w:name="其他"/>
      <w:bookmarkEnd w:id="74"/>
      <w:r>
        <w:t xml:space="preserve">其他</w:t>
      </w:r>
    </w:p>
    <w:p>
      <w:pPr>
        <w:pStyle w:val="Heading3"/>
      </w:pPr>
      <w:bookmarkStart w:id="75" w:name="中共中央国务院发布深化改革加快创新驱动发展战略若干意见"/>
      <w:bookmarkEnd w:id="75"/>
      <w:r>
        <w:t xml:space="preserve">中共中央国务院发布深化改革加快创新驱动发展战略若干意见</w:t>
      </w:r>
    </w:p>
    <w:p>
      <w:r>
        <w:t xml:space="preserve">中共中央、国务院3月23日印发《关于深化体制机制改革加快实施创新驱动发展战略的若干意见》（以下简称《意见》）。</w:t>
      </w:r>
    </w:p>
    <w:p>
      <w:r>
        <w:t xml:space="preserve">《意见》共有九项三十条。《意见》要求，实行严格的知识产权保护制度：完善知识产权保护相关法律、商业秘密保护法律制度、知识产权审判工作机制以及健全知识产权侵权查处机制。《意见》指出，要加快推进垄断性行业改革：加强反垄断执法，为中小企业创新发展拓宽空间；打破地方保护，探索实施公平竞争审查制度等。《意见》提到，坚持结构性减税方向，逐步将国家对企业技术创新的投入方式转变为以普惠性财税政策为主。统筹研究企业所得税加计扣除政策，完善企业研发费用计核方法，调整目录管理方式，扩大研发费用加计扣除优惠政策适用范围。</w:t>
      </w:r>
    </w:p>
    <w:p>
      <w:hyperlink r:id="rId76">
        <w:r>
          <w:rPr>
            <w:rStyle w:val="Link"/>
          </w:rPr>
          <w:t xml:space="preserve">来源</w:t>
        </w:r>
      </w:hyperlink>
      <w:r>
        <w:t xml:space="preserve"> </w:t>
      </w:r>
      <w:r>
        <w:t xml:space="preserve">(</w:t>
      </w:r>
      <w:hyperlink r:id="rId77">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8">
        <w:r>
          <w:rPr>
            <w:rStyle w:val="Link"/>
          </w:rPr>
          <w:t xml:space="preserve">unsubscribe@charltonslaw.com</w:t>
        </w:r>
      </w:hyperlink>
    </w:p>
    <w:p>
      <w:r>
        <w:rPr>
          <w:b/>
        </w:rPr>
        <w:t xml:space="preserve">易周律师行 - 法讯 - 中国 - 第448期 - 2015年03月28日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6e35cd8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3" Target="12.pdf" TargetMode="External" /><Relationship Type="http://schemas.openxmlformats.org/officeDocument/2006/relationships/hyperlink" Id="rId67" Target="13.pdf" TargetMode="External" /><Relationship Type="http://schemas.openxmlformats.org/officeDocument/2006/relationships/hyperlink" Id="rId70" Target="14.pdf" TargetMode="External" /><Relationship Type="http://schemas.openxmlformats.org/officeDocument/2006/relationships/hyperlink" Id="rId73" Target="15.pdf" TargetMode="External" /><Relationship Type="http://schemas.openxmlformats.org/officeDocument/2006/relationships/hyperlink" Id="rId77" Target="16.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40"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69" Target="http://epaper.stcn.com/paper/zqsb/html/2015-03/24/content_666342.htm" TargetMode="External" /><Relationship Type="http://schemas.openxmlformats.org/officeDocument/2006/relationships/hyperlink" Id="rId66" Target="http://epaper.stcn.com/paper/zqsb/html/epaper/index/content_667038.htm" TargetMode="External" /><Relationship Type="http://schemas.openxmlformats.org/officeDocument/2006/relationships/hyperlink" Id="rId72" Target="http://epaper.stcn.com/paper/zqsb/html/epaper/index/content_667909.htm" TargetMode="External" /><Relationship Type="http://schemas.openxmlformats.org/officeDocument/2006/relationships/hyperlink" Id="rId62" Target="http://news.163.com/15/0327/07/ALMPLF6K00014AED.html" TargetMode="External" /><Relationship Type="http://schemas.openxmlformats.org/officeDocument/2006/relationships/hyperlink" Id="rId42" Target="http://szs.mof.gov.cn/zhengwuxinxi/zhengcefabu/201503/t20150323_1205411.html" TargetMode="External" /><Relationship Type="http://schemas.openxmlformats.org/officeDocument/2006/relationships/hyperlink" Id="rId58" Target="http://www.aqsiq.gov.cn/xxgk_13386/jlgg_12538/zjl/2015/201503/t20150324_434932.htm" TargetMode="External" /><Relationship Type="http://schemas.openxmlformats.org/officeDocument/2006/relationships/hyperlink" Id="rId21" Target="http://www.charltonslaw.com.cn/china-news-alerts-cn-issue-448/" TargetMode="External" /><Relationship Type="http://schemas.openxmlformats.org/officeDocument/2006/relationships/hyperlink" Id="rId25" Target="http://www.chinaclear.cn/zdjs/gszb/201503/ad722e4ab25b40698dbe5b24b4d05ee2.shtml" TargetMode="External" /><Relationship Type="http://schemas.openxmlformats.org/officeDocument/2006/relationships/hyperlink" Id="rId39" Target="http://www.chinatax.gov.cn/n810341/n810755/c1519141/content.html" TargetMode="External" /><Relationship Type="http://schemas.openxmlformats.org/officeDocument/2006/relationships/hyperlink" Id="rId45" Target="http://www.chinatax.gov.cn/n810341/n810755/c1519231/content.html" TargetMode="External" /><Relationship Type="http://schemas.openxmlformats.org/officeDocument/2006/relationships/hyperlink" Id="rId32" Target="http://www.circ.gov.cn/web/site0/tab5168/info3954565.htm" TargetMode="External" /><Relationship Type="http://schemas.openxmlformats.org/officeDocument/2006/relationships/hyperlink" Id="rId35" Target="http://www.circ.gov.cn/web/site0/tab5168/info3954696.htm" TargetMode="External" /><Relationship Type="http://schemas.openxmlformats.org/officeDocument/2006/relationships/hyperlink" Id="rId76" Target="http://www.gov.cn/xinwen/2015-03/23/content_2837629.htm" TargetMode="External" /><Relationship Type="http://schemas.openxmlformats.org/officeDocument/2006/relationships/hyperlink" Id="rId48" Target="http://www.sczg-l-tax.gov.cn/ZgdsShow.aspx?id=8118&amp;ChannelId=81" TargetMode="External" /><Relationship Type="http://schemas.openxmlformats.org/officeDocument/2006/relationships/hyperlink" Id="rId28" Target="http://www.shclearing.com/cpyyw/tzgg/201503/t20150319_77490.html" TargetMode="External" /><Relationship Type="http://schemas.openxmlformats.org/officeDocument/2006/relationships/hyperlink" Id="rId52" Target="http://zfxxgk.nea.gov.cn/auto83/201503/t20150324_1893.htm" TargetMode="External" /><Relationship Type="http://schemas.openxmlformats.org/officeDocument/2006/relationships/hyperlink" Id="rId55" Target="http://zfxxgk.nea.gov.cn/auto85/201503/t20150325_1894.htm" TargetMode="External" /><Relationship Type="http://schemas.openxmlformats.org/officeDocument/2006/relationships/hyperlink" Id="rId78"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3" Target="12.pdf" TargetMode="External" /><Relationship Type="http://schemas.openxmlformats.org/officeDocument/2006/relationships/hyperlink" Id="rId67" Target="13.pdf" TargetMode="External" /><Relationship Type="http://schemas.openxmlformats.org/officeDocument/2006/relationships/hyperlink" Id="rId70" Target="14.pdf" TargetMode="External" /><Relationship Type="http://schemas.openxmlformats.org/officeDocument/2006/relationships/hyperlink" Id="rId73" Target="15.pdf" TargetMode="External" /><Relationship Type="http://schemas.openxmlformats.org/officeDocument/2006/relationships/hyperlink" Id="rId77" Target="16.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40"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69" Target="http://epaper.stcn.com/paper/zqsb/html/2015-03/24/content_666342.htm" TargetMode="External" /><Relationship Type="http://schemas.openxmlformats.org/officeDocument/2006/relationships/hyperlink" Id="rId66" Target="http://epaper.stcn.com/paper/zqsb/html/epaper/index/content_667038.htm" TargetMode="External" /><Relationship Type="http://schemas.openxmlformats.org/officeDocument/2006/relationships/hyperlink" Id="rId72" Target="http://epaper.stcn.com/paper/zqsb/html/epaper/index/content_667909.htm" TargetMode="External" /><Relationship Type="http://schemas.openxmlformats.org/officeDocument/2006/relationships/hyperlink" Id="rId62" Target="http://news.163.com/15/0327/07/ALMPLF6K00014AED.html" TargetMode="External" /><Relationship Type="http://schemas.openxmlformats.org/officeDocument/2006/relationships/hyperlink" Id="rId42" Target="http://szs.mof.gov.cn/zhengwuxinxi/zhengcefabu/201503/t20150323_1205411.html" TargetMode="External" /><Relationship Type="http://schemas.openxmlformats.org/officeDocument/2006/relationships/hyperlink" Id="rId58" Target="http://www.aqsiq.gov.cn/xxgk_13386/jlgg_12538/zjl/2015/201503/t20150324_434932.htm" TargetMode="External" /><Relationship Type="http://schemas.openxmlformats.org/officeDocument/2006/relationships/hyperlink" Id="rId21" Target="http://www.charltonslaw.com.cn/china-news-alerts-cn-issue-448/" TargetMode="External" /><Relationship Type="http://schemas.openxmlformats.org/officeDocument/2006/relationships/hyperlink" Id="rId25" Target="http://www.chinaclear.cn/zdjs/gszb/201503/ad722e4ab25b40698dbe5b24b4d05ee2.shtml" TargetMode="External" /><Relationship Type="http://schemas.openxmlformats.org/officeDocument/2006/relationships/hyperlink" Id="rId39" Target="http://www.chinatax.gov.cn/n810341/n810755/c1519141/content.html" TargetMode="External" /><Relationship Type="http://schemas.openxmlformats.org/officeDocument/2006/relationships/hyperlink" Id="rId45" Target="http://www.chinatax.gov.cn/n810341/n810755/c1519231/content.html" TargetMode="External" /><Relationship Type="http://schemas.openxmlformats.org/officeDocument/2006/relationships/hyperlink" Id="rId32" Target="http://www.circ.gov.cn/web/site0/tab5168/info3954565.htm" TargetMode="External" /><Relationship Type="http://schemas.openxmlformats.org/officeDocument/2006/relationships/hyperlink" Id="rId35" Target="http://www.circ.gov.cn/web/site0/tab5168/info3954696.htm" TargetMode="External" /><Relationship Type="http://schemas.openxmlformats.org/officeDocument/2006/relationships/hyperlink" Id="rId76" Target="http://www.gov.cn/xinwen/2015-03/23/content_2837629.htm" TargetMode="External" /><Relationship Type="http://schemas.openxmlformats.org/officeDocument/2006/relationships/hyperlink" Id="rId48" Target="http://www.sczg-l-tax.gov.cn/ZgdsShow.aspx?id=8118&amp;ChannelId=81" TargetMode="External" /><Relationship Type="http://schemas.openxmlformats.org/officeDocument/2006/relationships/hyperlink" Id="rId28" Target="http://www.shclearing.com/cpyyw/tzgg/201503/t20150319_77490.html" TargetMode="External" /><Relationship Type="http://schemas.openxmlformats.org/officeDocument/2006/relationships/hyperlink" Id="rId52" Target="http://zfxxgk.nea.gov.cn/auto83/201503/t20150324_1893.htm" TargetMode="External" /><Relationship Type="http://schemas.openxmlformats.org/officeDocument/2006/relationships/hyperlink" Id="rId55" Target="http://zfxxgk.nea.gov.cn/auto85/201503/t20150325_1894.htm" TargetMode="External" /><Relationship Type="http://schemas.openxmlformats.org/officeDocument/2006/relationships/hyperlink" Id="rId78"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第448期 - 2015年03月28日</dc:title>
  <dc:creator/>
</cp:coreProperties>
</file>