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第449期</w:t>
      </w:r>
      <w:r>
        <w:t xml:space="preserve"> </w:t>
      </w:r>
      <w:r>
        <w:t xml:space="preserve">-</w:t>
      </w:r>
      <w:r>
        <w:t xml:space="preserve"> </w:t>
      </w:r>
      <w:r>
        <w:t xml:space="preserve">2015年04月02日</w:t>
      </w:r>
    </w:p>
    <w:p>
      <w:hyperlink r:id="rId21">
        <w:r>
          <w:rPr>
            <w:rStyle w:val="Link"/>
          </w:rPr>
          <w:t xml:space="preserve">网络版</w:t>
        </w:r>
      </w:hyperlink>
    </w:p>
    <w:p>
      <w:pPr>
        <w:pStyle w:val="Heading1"/>
      </w:pPr>
      <w:bookmarkStart w:id="22" w:name="法讯中国第449期"/>
      <w:bookmarkEnd w:id="22"/>
      <w:r>
        <w:t xml:space="preserve">法讯中国第449期</w:t>
      </w:r>
    </w:p>
    <w:p>
      <w:pPr>
        <w:pStyle w:val="Heading2"/>
      </w:pPr>
      <w:bookmarkStart w:id="23" w:name="资本市场"/>
      <w:bookmarkEnd w:id="23"/>
      <w:r>
        <w:t xml:space="preserve">资本市场</w:t>
      </w:r>
    </w:p>
    <w:p>
      <w:pPr>
        <w:pStyle w:val="Heading3"/>
      </w:pPr>
      <w:bookmarkStart w:id="24" w:name="央行发布黄金及黄金制品进出口管理办法"/>
      <w:bookmarkEnd w:id="24"/>
      <w:r>
        <w:t xml:space="preserve">央行发布《黄金及黄金制品进出口管理办法》</w:t>
      </w:r>
    </w:p>
    <w:p>
      <w:r>
        <w:t xml:space="preserve">近日，中国人民银行、海关总署发布《黄金及黄金制品进出口管理办法》（下称《办法》），自2015年4月1日起施行。</w:t>
      </w:r>
    </w:p>
    <w:p>
      <w:r>
        <w:t xml:space="preserve">《办法》明确，央行是黄金及黄金制品进出口主管部门，对黄金及黄金制品进出口实行准许证制度；央行可根据国家宏观经济调控需求，对黄金及黄金制品进出口数量进行限制性审批。《办法》分别规定了申请黄金进出口和黄金制品进出口的法人所具备的相应资格，其中，申请黄金进出口（除因公益事业捐赠进口黄金）的，除了合规经营外，还必须是黄金交易所的金融机构会员或做市商；国务院批准的黄金交易所的综合类会员，年矿产金10吨以上、生产过程达到国家环保标准，在境外黄金矿产投资规模达5000万美元以上的矿产企业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三部门发文调整个人住房贷款政策"/>
      <w:bookmarkEnd w:id="27"/>
      <w:r>
        <w:t xml:space="preserve">三部门发文调整个人住房贷款政策</w:t>
      </w:r>
    </w:p>
    <w:p>
      <w:r>
        <w:t xml:space="preserve">3月30日，中国人民银行等三部门发布《关于个人住房贷款政策有关问题的通知》（下称《通知》）。</w:t>
      </w:r>
    </w:p>
    <w:p>
      <w:r>
        <w:t xml:space="preserve">《通知》明确，对拥有1套住房且相应购房贷款未结清的居民家庭，为改善居住条件再次申请商业性个人住房贷款购买普通自住房，最低首付款比例调整为不低于40%，具体首付款比例和利率水平由银行业金融机构根据借款人的信用状况和还款能力等合理确定。同时，公积金贷款首付比例也做出调整，缴存职工家庭使用住房公积金委托贷款购买首套普通自住房，最低首付款比例为20%；对拥有1套住房并已结清相应购房贷款的缴存职工家庭，为改善居住条件再次申请住房公积金委托贷款购买普通自住房，最低首付款比例为30%。</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金所发布上证50和中证500股指期货合约及其交易细则"/>
      <w:bookmarkEnd w:id="30"/>
      <w:r>
        <w:t xml:space="preserve">中金所发布上证50和中证500股指期货合约及其交易细则</w:t>
      </w:r>
    </w:p>
    <w:p>
      <w:r>
        <w:t xml:space="preserve">3月27日，中金所发布上证50、中证500股指期货合约及相关细则，以上合约、规则自发布之日起实施。</w:t>
      </w:r>
    </w:p>
    <w:p>
      <w:r>
        <w:t xml:space="preserve">其中，《上证50股指期货合约交易细则》规定，本合约的合约标的为上海证券交易所编制和发布的上证50指数，本合约的合约乘数为每点人民币300元，股指期货合约价值为股指期货指数点乘以合约乘数。根据《上证50股指期货合约交易细则》，本合约实行持仓限额制度：进行投机交易的客户某一合约单边持仓限额为1200手；某一合约结算后单边总持仓量超过10万手的，结算会员下一交易日该合约单边持仓量不得超过该合约单边总持仓量的25%。</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监会发布公开募集证券投资基金参与沪港通交易指引"/>
      <w:bookmarkEnd w:id="33"/>
      <w:r>
        <w:t xml:space="preserve">证监会发布《公开募集证券投资基金参与沪港通交易指引》</w:t>
      </w:r>
    </w:p>
    <w:p>
      <w:r>
        <w:t xml:space="preserve">近日，中国证监会发布《公开募集证券投资基金参与沪港通交易指引》（下称《指引》），自公布之日起施行。</w:t>
      </w:r>
    </w:p>
    <w:p>
      <w:r>
        <w:t xml:space="preserve">《指引》共十条，对基金参与沪港通交易的资格和程序、信息披露、风险管理、内控制度等提出了具体要求，主要内容包括：一是明确基金管理人可以募集新基金，通过沪港通机制投资香港市场股票，不需具备合格境内机构投资者（QDII）资格；二是《指引》施行前已获核准或注册的基金，应根据基金合同约定情况，采取不同的程序参与沪港通；三是要求基金投资遵守法律法规和基金合同的约定，并按照有关业务规则执行；四是强调基金参与沪港通交易的信息披露工作；五是明确基金管理人参与沪港通交易的决策制度和风险控制要求。</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保监会取消和调整一批行政审批项目"/>
      <w:bookmarkEnd w:id="37"/>
      <w:r>
        <w:t xml:space="preserve">保监会取消和调整一批行政审批项目</w:t>
      </w:r>
    </w:p>
    <w:p>
      <w:r>
        <w:t xml:space="preserve">近日，中国保监会发布《关于取消和调整一批行政审批项目等事项的通知》（下称《通知》）。</w:t>
      </w:r>
    </w:p>
    <w:p>
      <w:r>
        <w:t xml:space="preserve">《通知》称，保监会将取消保险公司股权转让及改变组织形式审批，同时公布后续监管措施：保险公司变更5%以上股权，仍需前置审批；保险公司变更5%以下股权或变更组织形式，需报我会备案并向社会公告。《通知》将需前置审批的保险公司资本金处置审批改为备案制；保险公司可投资企业债的信用评级机构核准移交中国保险业相关协会组织自律管理，通过市场化评价机制，督促评级机构提高评级服务质量。此外将农业保险市场准入从审批制修改为目录制。</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保监会调整保险资金境外投资有关政策"/>
      <w:bookmarkEnd w:id="40"/>
      <w:r>
        <w:t xml:space="preserve">保监会调整保险资金境外投资有关政策</w:t>
      </w:r>
    </w:p>
    <w:p>
      <w:r>
        <w:t xml:space="preserve">近日，保监会发布《关于调整保险资金境外投资有关政策的通知》（下称《通知》），自发布之日起施行。</w:t>
      </w:r>
    </w:p>
    <w:p>
      <w:r>
        <w:t xml:space="preserve">《通知》调整了境外投资专业人员资质要求，规定保险机构应当参照《关于保险机构投资风险责任人有关事项的通知》实施境外投资风险责任人制度，至少配备2名境外投资风险责任人。《通知》拓展了保险资产管理机构受托投资范围，将其受托集团内保险资金投资境外的市场，由香港市场扩展至《保险资金境外投资管理暂行办法实施细则》允许的45个国家或地区金融市场。同时，扩大境外债券投资范围，将债券等固定收益类产品应具备的信用评级由发行人和债项均获得BBB级以上的评级调整为债项获得BBB-级以上的评级。</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李克强签署国务院令公布存款保险条例"/>
      <w:bookmarkEnd w:id="43"/>
      <w:r>
        <w:t xml:space="preserve">李克强签署国务院令公布《存款保险条例》</w:t>
      </w:r>
    </w:p>
    <w:p>
      <w:r>
        <w:t xml:space="preserve">近日，国务院公布《存款保险条例》（下称《条例》），自2015年5月1日起施行。</w:t>
      </w:r>
    </w:p>
    <w:p>
      <w:r>
        <w:t xml:space="preserve">《条例》明确，在我国境内设立的商业银行、农村合作银行、农村信用合作社等吸收存款的银行业金融机构，应当依照本条例的规定投保存款保险。存款保险实行限额偿付，最高偿付限额为人民币50万元。同一存款人在同一家投保机构所有被保险存款账户的存款本金和利息合并计算的资金数额在最高偿付限额以内的，实行全额偿付；超出最高偿付限额的部分，依法从投保机构清算财产中受偿。此外，《条例》明确了存款人有权要求存款保险基金管理机构偿付被保险存款的情形，包括存款保险基金管理机构担任投保机构的接管组织、实施被撤销投保机构的清算以及人民法院受理对投保机构的破产申请等。</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海关总署启动两区域通关一体化改革"/>
      <w:bookmarkEnd w:id="47"/>
      <w:r>
        <w:t xml:space="preserve">海关总署启动两区域通关一体化改革</w:t>
      </w:r>
    </w:p>
    <w:p>
      <w:r>
        <w:t xml:space="preserve">日前，海关总署发布2015年第9、第10号公告，决定在丝绸之路经济带海关和东北地区海关区域实行通关一体化改革。</w:t>
      </w:r>
    </w:p>
    <w:p>
      <w:r>
        <w:t xml:space="preserve">公告称，自2015年5月1日起启用丝绸之路经济带海关和东北地区海关区域通关一体化方式；该通关方式适用于上述两区域企业在上述区域各口岸海关进出口的货物，相关企业可选择向经营单位注册地、货物实际进出境地海关或其直属海关集中报关点办理申报、纳税和查验放行手续，企业还可选择口岸清关、转关、区域通关一体化等任一种通关方式；取消上述两区域报关企业跨关区从事报关服务限制，允许区域外报关企业在区域内设立的分支机构在区域海关直接报关，允许许可证件证面签注口岸为上述两区域任一口岸的货物，在区域内任一海关办理申报验放手续；等等。</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个人非货币性资产投资个税政策发布"/>
      <w:bookmarkEnd w:id="50"/>
      <w:r>
        <w:t xml:space="preserve">个人非货币性资产投资个税政策发布</w:t>
      </w:r>
    </w:p>
    <w:p>
      <w:r>
        <w:t xml:space="preserve">日前，财政部、国税总局发布《关于个人非货币性资产投资有关个人所得税政策的通知》（下称《通知》）。</w:t>
      </w:r>
    </w:p>
    <w:p>
      <w:r>
        <w:t xml:space="preserve">《通知》规定，个人以非货币性资产投资，属个人转让非货币性资产和投资同时发生。对个人转让非货币性资产的所得，应按“财产转让所得”项目，依法计算缴纳个人所得税；个人以非货币性资产投资，应按评估后的公允价值确认非货币性资产转让收入。非货币性资产转让收入减除该资产原值及合理税费后的余额为应纳税所得额。个人以非货币性资产投资，应于非货币性资产转让、取得被投资企业股权时，确认非货币性资产转让收入的实现。《通知》指出，个人应在发生上述应税行为次月15日内向主管税务机关申报纳税。纳税人一次性缴税有困难的，可按规定分期缴纳个税，分期缴税政策自2015年4月1日起施行。</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两部门发文调整个人住房转让营业税政策"/>
      <w:bookmarkEnd w:id="53"/>
      <w:r>
        <w:t xml:space="preserve">两部门发文调整个人住房转让营业税政策</w:t>
      </w:r>
    </w:p>
    <w:p>
      <w:r>
        <w:t xml:space="preserve">3月30日，财政部、国税总局发布《关于调整个人住房转让营业税政策的通知》（下称《通知》）。</w:t>
      </w:r>
    </w:p>
    <w:p>
      <w:r>
        <w:t xml:space="preserve">《通知》明确，个人将购买不足2年的住房对外销售，全额征收营业税；个人将购买2年以上（含）的非普通住房对外销售，按照其销售收入减去购买房屋的价款后的差额征收营业税；个人将购买2年以上（含）的普通住房对外销售，免征营业税。普通住房和非普通住房的标准、办理免税的具体程序、购买房屋的时间、开具发票、差额征税扣除凭证、非购买形式取得住房行为等，按《国务院办公厅转发建设部等部门关于做好稳定住房价格工作意见的通知》、《国家税务总局财政部建设部关于加强房地产税收管理的通知》等有关规定执行。《通知》自2015年3月31日起施行。</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行业"/>
      <w:bookmarkEnd w:id="56"/>
      <w:r>
        <w:t xml:space="preserve">行业</w:t>
      </w:r>
    </w:p>
    <w:p>
      <w:pPr>
        <w:pStyle w:val="Heading3"/>
      </w:pPr>
      <w:bookmarkStart w:id="57" w:name="工信部发文规范光伏制造行业"/>
      <w:bookmarkEnd w:id="57"/>
      <w:r>
        <w:t xml:space="preserve">工信部发文规范光伏制造行业</w:t>
      </w:r>
    </w:p>
    <w:p>
      <w:r>
        <w:t xml:space="preserve">3月30日，工信部发布《光伏制造行业规范条件（2015年本）》（下称《规范条件》），旨在引导光伏产业转型升级和结构调整。</w:t>
      </w:r>
    </w:p>
    <w:p>
      <w:r>
        <w:t xml:space="preserve">《规范条件》指出，严格控制新上单纯扩大产能的光伏制造项目，对加强技术创新、降低生产成本等确有必要的新建和改扩建项目，报行业主管部门及投资主管部门备案。新建和改扩建光伏制造项目，最低资本金比例为20%。《规范条件》明确，新建和改扩建光伏制造项目应严格执行环境影响评价制度，未通过环境影响评价审批的项目不得开工建设。废气、废水排放应符合国家和地方大气及水污染物排放标准和总量控制要求。本《规范条件》自发布之日起实施。</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工信部发文规范汽车动力蓄电池行业"/>
      <w:bookmarkEnd w:id="60"/>
      <w:r>
        <w:t xml:space="preserve">工信部发文规范汽车动力蓄电池行业</w:t>
      </w:r>
    </w:p>
    <w:p>
      <w:r>
        <w:t xml:space="preserve">3月26日，工信部发布《汽车动力蓄电池行业规范条件》（下称《规范条件》），旨在引导规范汽车动力蓄电池行业健康发展。</w:t>
      </w:r>
    </w:p>
    <w:p>
      <w:r>
        <w:t xml:space="preserve">《规范条件》从企业基本要求、生产条件要求、技术能力要求、产品要求、质量保证能力要求、销售售后服务、规范管理等七方面对行业加以规范。其中，企业基本要求方面，《规范条件》提出，锂离子动力蓄电池单体企业年产能力不得低于2亿瓦时，金属氢化物镍动力蓄电池单体企业年产能力不得低于1千万瓦时，超级电容器单体企业年产能力不得低于5百万瓦时。系统企业年产能力不得低于10000套或2亿瓦时；技术能力要求方面，企业应配备相应研究开发人员，其占企业员工总数比例不得少于10%或总数不得少于100人。该《规范条件》自2015年5月1日起实施。</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三部门发文鼓励社会资本参与重大水利工程建设"/>
      <w:bookmarkEnd w:id="63"/>
      <w:r>
        <w:t xml:space="preserve">三部门发文鼓励社会资本参与重大水利工程建设</w:t>
      </w:r>
    </w:p>
    <w:p>
      <w:r>
        <w:t xml:space="preserve">近日，国家发改委、财政部、水利部联合出台《关于鼓励和引导社会资本参与重大水利工程建设运营的实施意见》（下称《意见》）。</w:t>
      </w:r>
    </w:p>
    <w:p>
      <w:r>
        <w:t xml:space="preserve">《意见》明确，除法律、法规、规章规定的情形外，重大水利工程建设运营一律向社会资本开放，包括符合条件的各类国有企业、民营企业、外商投资企业、混合所有制企业等。但综合水利枢纽、大城市供排水管网的建设经营须由中方控股。同时，《意见》提出建立健全政府和社会资本合作（PPP）机制，鼓励社会资本以特许经营、参股控股等多种形式参与重大水利工程建设运营。此外，《意见》重点从政府投资引导、财政补贴、价格机制、政策性金融、水权制度改革等方面提出优惠和扶持措施。</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办印发全国医疗卫生服务体系规划纲要20152020年"/>
      <w:bookmarkEnd w:id="66"/>
      <w:r>
        <w:t xml:space="preserve">国办印发《全国医疗卫生服务体系规划纲要（2015—2020年）》</w:t>
      </w:r>
    </w:p>
    <w:p>
      <w:r>
        <w:t xml:space="preserve">近日，国务院办公厅印发《全国医疗卫生服务体系规划纲要（2015—2020年）》（下称《纲要》）。</w:t>
      </w:r>
    </w:p>
    <w:p>
      <w:r>
        <w:t xml:space="preserve">《纲要》指出，到2020年，每千常住人口医疗卫生机构床位数控制在6张，其中，医院床位数4.8张，基层医疗卫生机构床位数1.2张。在医院床位中，公立医院床位数3.3张，按照每千常住人口不低于1.5张为社会办医院预留规划空间。同时，建立公立医院床位规模分级备案和公示制度，新增床位后达到或超过1500张床以上公立医院，其床位增加须报国家卫生计生委备案（中医类医院同时报国家中医药管理局备案）。对严重超出规定床位数标准、未经批准开展项目建设、擅自扩大建设规模和提高建设标准等的公立医院，要进行通报批评，暂停大型医用设备配置许可、等级评审等审批和财政资金安排。</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中注协发布中国注册会计师职业判断指南"/>
      <w:bookmarkEnd w:id="69"/>
      <w:r>
        <w:t xml:space="preserve">中注协发布中国注册会计师职业判断指南</w:t>
      </w:r>
    </w:p>
    <w:p>
      <w:r>
        <w:t xml:space="preserve">2015年3月26日，中国注册会计师协会发布《中国注册会计师职业判断指南》（下称《指南》），旨在倡导注册会计师强化职业判断意识，提高职业判断质量。</w:t>
      </w:r>
    </w:p>
    <w:p>
      <w:r>
        <w:t xml:space="preserve">《指南》适用于在会计师事务所工作的注册会计师。工商业界职业会计师（非执业会员）在从事财务报告编制或内部审计等业务时，也可以参考本指南。《指南》对职业判断的概念和必要性，注册会计师运用职业判断的主要领域，职业判断的决策过程，影响职业判断质量的因素等进行了阐述和讨论，并为如何做好职业判断、提高职业判断能力提供了参考和建议。</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两部门发文要求优化2015年住房及用地供应结构"/>
      <w:bookmarkEnd w:id="72"/>
      <w:r>
        <w:t xml:space="preserve">两部门发文要求优化2015年住房及用地供应结构</w:t>
      </w:r>
    </w:p>
    <w:p>
      <w:r>
        <w:t xml:space="preserve">近日，国土资源部、住建部发布《关于优化2015年住房及用地供应结构促进房地产市场平稳健康发展的通知》（下称《通知》）。</w:t>
      </w:r>
    </w:p>
    <w:p>
      <w:r>
        <w:t xml:space="preserve">《通知》要求，住房供应明显偏多的市、县，或在建住宅用地规模过大的市、县，应明显减少住宅用地供应量直至暂停计划供应；住房供求矛盾比较突出的热点城市，应根据市场实际情况有效增加住宅用地供应规模。《通知》还要求，优化住房供应套型结构，促进房地产用地结构调整。对于在建商品住房项目，在不改变用地性质和容积率等必要规划条件的前提下，允许房地产开发企业对不适应市场需求的住房户型做出调整，满足合理的自住和改善性住房需求。房地产供应明显偏多或在建房地产用地规模过大的市、县，可以根据市场状况，研究制订未开发房地产用地的用途转换方案。</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并购"/>
      <w:bookmarkEnd w:id="75"/>
      <w:r>
        <w:t xml:space="preserve">并购</w:t>
      </w:r>
    </w:p>
    <w:p>
      <w:pPr>
        <w:pStyle w:val="Heading3"/>
      </w:pPr>
      <w:bookmarkStart w:id="76" w:name="浙报传媒受让爱阅读股权"/>
      <w:bookmarkEnd w:id="76"/>
      <w:r>
        <w:t xml:space="preserve">浙报传媒受让爱阅读股权</w:t>
      </w:r>
    </w:p>
    <w:p>
      <w:r>
        <w:t xml:space="preserve">浙报传媒4月1日晚间公告，出资9600万元受让爱阅读70%的股权。</w:t>
      </w:r>
    </w:p>
    <w:p>
      <w:r>
        <w:t xml:space="preserve">爱阅读是国内排名前十的移动阅读平台，作为优质移动阅读服务提供商，其业务核心是打造基于无线互联网的付费阅读平台。</w:t>
      </w:r>
    </w:p>
    <w:p>
      <w:r>
        <w:t xml:space="preserve">移动互联网的发展推动了移动阅读的爆发式增长。数据显示，2012年国内移动阅读市场的规模仅有34.7亿元，2013年增长至62.5亿元，环比上涨了80.1%，2014年国内移动阅读市场规模达到101.3亿元，环比上涨了62.1%。预计2015年、2016年市场规模将分别达到165亿元和230亿元。</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并购飞利浦照明-郑建明商业帝国再下一城"/>
      <w:bookmarkEnd w:id="79"/>
      <w:r>
        <w:t xml:space="preserve">并购飞利浦照明 郑建明商业帝国再下一城</w:t>
      </w:r>
    </w:p>
    <w:p>
      <w:r>
        <w:t xml:space="preserve">3月31日，由“GO Scale Capital”（金沙江创业投资与橡树投资伙伴联合组成的基金）牵头，亚太资源开发投资有限公司（下称“亚太资源”）和南昌工业控股集团有限公司（下称“南昌工业”）等中资、外资财团鼎力支持下的并购基金，宣布成功收购荷兰皇家飞利浦公司（下称“飞利浦”）旗下 Lumileds 80.1%的股份，飞利浦将保留剩余的19.9%的股份。</w:t>
      </w:r>
    </w:p>
    <w:p>
      <w:r>
        <w:t xml:space="preserve">此次交易价值约33亿美元，预计将于2015年第三季度获得监管部门批准等交易条件后完成。</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天润控股拟斥资8亿全资收购手游企业点点乐"/>
      <w:bookmarkEnd w:id="82"/>
      <w:r>
        <w:t xml:space="preserve">天润控股拟斥资8亿全资收购手游企业点点乐</w:t>
      </w:r>
    </w:p>
    <w:p>
      <w:r>
        <w:t xml:space="preserve">4月1日，天润控股发布拟非公开发行股份和斥资8亿元全资收购移动网络游戏开发、运营商上海点点乐信息科技有限公司（下称：点点乐）的公告。</w:t>
      </w:r>
    </w:p>
    <w:p>
      <w:r>
        <w:t xml:space="preserve">非公开发行预案显示，天润控股将向包括大股东广东恒润华创实业发展有限公司（下称：恒润华创）关联方广东恒润互兴资产管理有限公司（下称：恒润互兴）、点点乐现有主要持股人在内的6名投资者或机构，以11.82元/股价格，非公开发行不超过7612.21万股，募集资金总额为9亿元。各认购方均承诺三年内不减持股份。</w:t>
      </w:r>
    </w:p>
    <w:p>
      <w:r>
        <w:t xml:space="preserve">本次募资资金投向为，斥资8亿元收购点点乐100%股权和1亿元用来补充天润控股流动资金。</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上风高科17亿收购宇星科技"/>
      <w:bookmarkEnd w:id="85"/>
      <w:r>
        <w:t xml:space="preserve">上风高科17亿收购宇星科技</w:t>
      </w:r>
    </w:p>
    <w:p>
      <w:r>
        <w:t xml:space="preserve">30日晚间，上风高科重组草案出炉，公司拟以现金和发行股份相结合的方式，收购宇星科技100%股权，交易对价为17亿元，同时配套募资4.25亿元。通过此次并购，目前已经在环保硬件开始发力的上风高科正式涉足环保软件领域，公司借此亦将添加环保动力，进而由此前的以风机为主升级为风机+环保双轮驱动。</w:t>
      </w:r>
    </w:p>
    <w:p>
      <w:r>
        <w:t xml:space="preserve">重组草案显示，本次交易对价合计17亿，其中股票对价77.55%，现金对价22.45%。宇星科技承诺，2015-2017年净利润不低于1.2亿、1.56亿、2.10亿。</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2"/>
      </w:pPr>
      <w:bookmarkStart w:id="88" w:name="其他"/>
      <w:bookmarkEnd w:id="88"/>
      <w:r>
        <w:t xml:space="preserve">其他</w:t>
      </w:r>
    </w:p>
    <w:p>
      <w:pPr>
        <w:pStyle w:val="Heading3"/>
      </w:pPr>
      <w:bookmarkStart w:id="89" w:name="中办国办印发规定为领导干部干预司法活动划出红线"/>
      <w:bookmarkEnd w:id="89"/>
      <w:r>
        <w:t xml:space="preserve">中办国办印发规定为领导干部干预司法活动划出“红线”</w:t>
      </w:r>
    </w:p>
    <w:p>
      <w:r>
        <w:t xml:space="preserve">近日，中办、国办印发《领导干部干预司法活动、插手具体案件处理的记录、通报和责任追究规定》（下称《规定》），自2015年3月18日起施行。</w:t>
      </w:r>
    </w:p>
    <w:p>
      <w:r>
        <w:t xml:space="preserve">《规定》明确，对领导干部干预司法活动、插手具体案件处理的情况，司法人员应当全面、如实记录，做到全程留痕，有据可查；以组织名义向司法机关发文发函对案件处理提出要求的，或者领导干部身边工作人员、亲属干预司法活动、插手具体案件处理的，司法人员均应当如实记录并留存相关材料。同时，领导干部不得对司法人员打击报复，非因法定事由，非经法定程序，不得将司法人员免职、调离、辞退或者作出降级、撤职、开除等处分。此外，《规定》将通报的范围限定在违法干预司法活动的情形，并作了列举式的规定。</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2">
        <w:r>
          <w:rPr>
            <w:rStyle w:val="Link"/>
          </w:rPr>
          <w:t xml:space="preserve">unsubscribe@charltonslaw.com</w:t>
        </w:r>
      </w:hyperlink>
    </w:p>
    <w:p>
      <w:r>
        <w:rPr>
          <w:b/>
        </w:rPr>
        <w:t xml:space="preserve">易周律师行 - 法讯 - 中国 - 第449期 - 2015年04月02日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2ca85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1"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6" Target="http://epaper.stcn.com/paper/zqsb/html/2015-03/31/content_669689.htm" TargetMode="External" /><Relationship Type="http://schemas.openxmlformats.org/officeDocument/2006/relationships/hyperlink" Id="rId83" Target="http://epaper.stcn.com/paper/zqsb/html/2015-04/01/content_670465.htm" TargetMode="External" /><Relationship Type="http://schemas.openxmlformats.org/officeDocument/2006/relationships/hyperlink" Id="rId77" Target="http://epaper.stcn.com/paper/zqsb/html/epaper/index/content_670834.htm" TargetMode="External" /><Relationship Type="http://schemas.openxmlformats.org/officeDocument/2006/relationships/hyperlink" Id="rId80" Target="http://epaper.stcn.com/paper/zqsb/html/epaper/index/content_670860.htm" TargetMode="External" /><Relationship Type="http://schemas.openxmlformats.org/officeDocument/2006/relationships/hyperlink" Id="rId31" Target="http://www.cffex.com.cn/tzgg/jysgg/201503/t20150327_18758.html" TargetMode="External" /><Relationship Type="http://schemas.openxmlformats.org/officeDocument/2006/relationships/hyperlink" Id="rId21" Target="http://www.charltonslaw.com.cn/china-news-alerts-cn-issue-449/" TargetMode="External" /><Relationship Type="http://schemas.openxmlformats.org/officeDocument/2006/relationships/hyperlink" Id="rId54" Target="http://www.chinatax.gov.cn/n810341/n810755/c1532748/content.html" TargetMode="External" /><Relationship Type="http://schemas.openxmlformats.org/officeDocument/2006/relationships/hyperlink" Id="rId51" Target="http://www.chinatax.gov.cn/n810341/n810755/c1535106/content.html" TargetMode="External" /><Relationship Type="http://schemas.openxmlformats.org/officeDocument/2006/relationships/hyperlink" Id="rId70" Target="http://www.cicpa.org.cn/news/201503/t20150327_46718.html" TargetMode="External" /><Relationship Type="http://schemas.openxmlformats.org/officeDocument/2006/relationships/hyperlink" Id="rId41" Target="http://www.circ.gov.cn/web/site0/tab5168/info3955266.htm" TargetMode="External" /><Relationship Type="http://schemas.openxmlformats.org/officeDocument/2006/relationships/hyperlink" Id="rId38" Target="http://www.circ.gov.cn/web/site0/tab5168/info3955271.htm" TargetMode="External" /><Relationship Type="http://schemas.openxmlformats.org/officeDocument/2006/relationships/hyperlink" Id="rId34" Target="http://www.csrc.gov.cn/pub/zjhpublic/G00306201/201503/t20150327_274240.htm" TargetMode="External" /><Relationship Type="http://schemas.openxmlformats.org/officeDocument/2006/relationships/hyperlink" Id="rId48" Target="http://www.customs.gov.cn/publish/portal0/tab49564/info735387.htm" TargetMode="External" /><Relationship Type="http://schemas.openxmlformats.org/officeDocument/2006/relationships/hyperlink" Id="rId90" Target="http://www.gov.cn/guowuyuan/2015-03/30/content_2840521.htm" TargetMode="External" /><Relationship Type="http://schemas.openxmlformats.org/officeDocument/2006/relationships/hyperlink" Id="rId67" Target="http://www.gov.cn/zhengce/content/2015-03/30/content_9560.htm" TargetMode="External" /><Relationship Type="http://schemas.openxmlformats.org/officeDocument/2006/relationships/hyperlink" Id="rId44" Target="http://www.gov.cn/zhengce/content/2015-03/31/content_9562.htm" TargetMode="External" /><Relationship Type="http://schemas.openxmlformats.org/officeDocument/2006/relationships/hyperlink" Id="rId61" Target="http://www.miit.gov.cn/n11293472/n11293832/n12845605/n13916898/16522519.html" TargetMode="External" /><Relationship Type="http://schemas.openxmlformats.org/officeDocument/2006/relationships/hyperlink" Id="rId58" Target="http://www.miit.gov.cn/n11293472/n11293832/n12845605/n13916898/16524572.html" TargetMode="External" /><Relationship Type="http://schemas.openxmlformats.org/officeDocument/2006/relationships/hyperlink" Id="rId73" Target="http://www.mlr.gov.cn/zwgk/zytz/201503/t20150327_1346321.htm" TargetMode="External" /><Relationship Type="http://schemas.openxmlformats.org/officeDocument/2006/relationships/hyperlink" Id="rId64" Target="http://www.mwr.gov.cn/slzx/slyw/201503/P020150319606981676779.pdf" TargetMode="External" /><Relationship Type="http://schemas.openxmlformats.org/officeDocument/2006/relationships/hyperlink" Id="rId28" Target="http://www.pbc.gov.cn/publish/goutongjiaoliu/524/2015/20150330163822150415674/20150330163822150415674_.html" TargetMode="External" /><Relationship Type="http://schemas.openxmlformats.org/officeDocument/2006/relationships/hyperlink" Id="rId25" Target="http://www.pbc.gov.cn/publish/tiaofasi/274/2015/20150330190423264792635/20150330190423264792635_.html" TargetMode="External" /><Relationship Type="http://schemas.openxmlformats.org/officeDocument/2006/relationships/hyperlink" Id="rId9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1"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86" Target="http://epaper.stcn.com/paper/zqsb/html/2015-03/31/content_669689.htm" TargetMode="External" /><Relationship Type="http://schemas.openxmlformats.org/officeDocument/2006/relationships/hyperlink" Id="rId83" Target="http://epaper.stcn.com/paper/zqsb/html/2015-04/01/content_670465.htm" TargetMode="External" /><Relationship Type="http://schemas.openxmlformats.org/officeDocument/2006/relationships/hyperlink" Id="rId77" Target="http://epaper.stcn.com/paper/zqsb/html/epaper/index/content_670834.htm" TargetMode="External" /><Relationship Type="http://schemas.openxmlformats.org/officeDocument/2006/relationships/hyperlink" Id="rId80" Target="http://epaper.stcn.com/paper/zqsb/html/epaper/index/content_670860.htm" TargetMode="External" /><Relationship Type="http://schemas.openxmlformats.org/officeDocument/2006/relationships/hyperlink" Id="rId31" Target="http://www.cffex.com.cn/tzgg/jysgg/201503/t20150327_18758.html" TargetMode="External" /><Relationship Type="http://schemas.openxmlformats.org/officeDocument/2006/relationships/hyperlink" Id="rId21" Target="http://www.charltonslaw.com.cn/china-news-alerts-cn-issue-449/" TargetMode="External" /><Relationship Type="http://schemas.openxmlformats.org/officeDocument/2006/relationships/hyperlink" Id="rId54" Target="http://www.chinatax.gov.cn/n810341/n810755/c1532748/content.html" TargetMode="External" /><Relationship Type="http://schemas.openxmlformats.org/officeDocument/2006/relationships/hyperlink" Id="rId51" Target="http://www.chinatax.gov.cn/n810341/n810755/c1535106/content.html" TargetMode="External" /><Relationship Type="http://schemas.openxmlformats.org/officeDocument/2006/relationships/hyperlink" Id="rId70" Target="http://www.cicpa.org.cn/news/201503/t20150327_46718.html" TargetMode="External" /><Relationship Type="http://schemas.openxmlformats.org/officeDocument/2006/relationships/hyperlink" Id="rId41" Target="http://www.circ.gov.cn/web/site0/tab5168/info3955266.htm" TargetMode="External" /><Relationship Type="http://schemas.openxmlformats.org/officeDocument/2006/relationships/hyperlink" Id="rId38" Target="http://www.circ.gov.cn/web/site0/tab5168/info3955271.htm" TargetMode="External" /><Relationship Type="http://schemas.openxmlformats.org/officeDocument/2006/relationships/hyperlink" Id="rId34" Target="http://www.csrc.gov.cn/pub/zjhpublic/G00306201/201503/t20150327_274240.htm" TargetMode="External" /><Relationship Type="http://schemas.openxmlformats.org/officeDocument/2006/relationships/hyperlink" Id="rId48" Target="http://www.customs.gov.cn/publish/portal0/tab49564/info735387.htm" TargetMode="External" /><Relationship Type="http://schemas.openxmlformats.org/officeDocument/2006/relationships/hyperlink" Id="rId90" Target="http://www.gov.cn/guowuyuan/2015-03/30/content_2840521.htm" TargetMode="External" /><Relationship Type="http://schemas.openxmlformats.org/officeDocument/2006/relationships/hyperlink" Id="rId67" Target="http://www.gov.cn/zhengce/content/2015-03/30/content_9560.htm" TargetMode="External" /><Relationship Type="http://schemas.openxmlformats.org/officeDocument/2006/relationships/hyperlink" Id="rId44" Target="http://www.gov.cn/zhengce/content/2015-03/31/content_9562.htm" TargetMode="External" /><Relationship Type="http://schemas.openxmlformats.org/officeDocument/2006/relationships/hyperlink" Id="rId61" Target="http://www.miit.gov.cn/n11293472/n11293832/n12845605/n13916898/16522519.html" TargetMode="External" /><Relationship Type="http://schemas.openxmlformats.org/officeDocument/2006/relationships/hyperlink" Id="rId58" Target="http://www.miit.gov.cn/n11293472/n11293832/n12845605/n13916898/16524572.html" TargetMode="External" /><Relationship Type="http://schemas.openxmlformats.org/officeDocument/2006/relationships/hyperlink" Id="rId73" Target="http://www.mlr.gov.cn/zwgk/zytz/201503/t20150327_1346321.htm" TargetMode="External" /><Relationship Type="http://schemas.openxmlformats.org/officeDocument/2006/relationships/hyperlink" Id="rId64" Target="http://www.mwr.gov.cn/slzx/slyw/201503/P020150319606981676779.pdf" TargetMode="External" /><Relationship Type="http://schemas.openxmlformats.org/officeDocument/2006/relationships/hyperlink" Id="rId28" Target="http://www.pbc.gov.cn/publish/goutongjiaoliu/524/2015/20150330163822150415674/20150330163822150415674_.html" TargetMode="External" /><Relationship Type="http://schemas.openxmlformats.org/officeDocument/2006/relationships/hyperlink" Id="rId25" Target="http://www.pbc.gov.cn/publish/tiaofasi/274/2015/20150330190423264792635/20150330190423264792635_.html" TargetMode="External" /><Relationship Type="http://schemas.openxmlformats.org/officeDocument/2006/relationships/hyperlink" Id="rId9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第449期 - 2015年04月02日</dc:title>
  <dc:creator/>
</cp:coreProperties>
</file>