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第452期</w:t>
      </w:r>
      <w:r>
        <w:t xml:space="preserve"> </w:t>
      </w:r>
      <w:r>
        <w:t xml:space="preserve">-</w:t>
      </w:r>
      <w:r>
        <w:t xml:space="preserve"> </w:t>
      </w:r>
      <w:r>
        <w:t xml:space="preserve">2015年04月24日</w:t>
      </w:r>
    </w:p>
    <w:p>
      <w:hyperlink r:id="rId21">
        <w:r>
          <w:rPr>
            <w:rStyle w:val="Link"/>
          </w:rPr>
          <w:t xml:space="preserve">网络版</w:t>
        </w:r>
      </w:hyperlink>
    </w:p>
    <w:p>
      <w:pPr>
        <w:pStyle w:val="Heading1"/>
      </w:pPr>
      <w:bookmarkStart w:id="22" w:name="法讯中国第452期"/>
      <w:bookmarkEnd w:id="22"/>
      <w:r>
        <w:t xml:space="preserve">法讯中国第452期</w:t>
      </w:r>
    </w:p>
    <w:p>
      <w:pPr>
        <w:pStyle w:val="Heading2"/>
      </w:pPr>
      <w:bookmarkStart w:id="23" w:name="资本市场"/>
      <w:bookmarkEnd w:id="23"/>
      <w:r>
        <w:t xml:space="preserve">资本市场</w:t>
      </w:r>
    </w:p>
    <w:p>
      <w:pPr>
        <w:pStyle w:val="Heading3"/>
      </w:pPr>
      <w:bookmarkStart w:id="24" w:name="年地方政府一般债券预算管理办法发布"/>
      <w:bookmarkEnd w:id="24"/>
      <w:r>
        <w:t xml:space="preserve">2015年地方政府一般债券预算管理办法发布</w:t>
      </w:r>
    </w:p>
    <w:p>
      <w:r>
        <w:t xml:space="preserve">财政部日前印发《2015年地方政府一般债券预算管理办法》（下称《办法》），自印发之日起施行。</w:t>
      </w:r>
    </w:p>
    <w:p>
      <w:r>
        <w:t xml:space="preserve">《办法》所称2015年地方政府一般债券，包括为2015年1月1日起新增一般债务发行的新增一般债券、为置换截至2014年12月31日存量一般债务发行的置换一般债券（含为偿还2015年到期的地方政府债券本金发行的一般债券）。《办法》规定，省、自治区、直辖市政府发行的一般债券不得超过国务院确定的本地区一般债券规模。经省级政府批准，计划单列市政府可以自办发行一般债券。此外，一般债券按市场化原则在银行间债券市场、证券交易所市场等发行。鼓励符合条件的机构投资者和个人购买一般债券。</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自贸区启动自由贸易账户外币服务"/>
      <w:bookmarkEnd w:id="27"/>
      <w:r>
        <w:t xml:space="preserve">上海自贸区启动自由贸易账户外币服务</w:t>
      </w:r>
    </w:p>
    <w:p>
      <w:r>
        <w:t xml:space="preserve">4月22日，中国人民银行上海总部发布《关于启动自由贸易账户外币服务功能的通知》（下称《通知》），正式宣布上海市开展自贸试验区分账核算业务的金融机构可按相关要求向区内及境外主体提供本外币一体化的自由贸易账户金融服务，标志着自由贸易账户外币服务功能的正式启动。</w:t>
      </w:r>
    </w:p>
    <w:p>
      <w:r>
        <w:t xml:space="preserve">《通知》明确，金融机构通过自由贸易账户为企业办理货物贸易外币结算业务时，继续遵循现行的企业名录和分类管理规则；金融机构通过自由贸易账户为企业办理跨境直接投资外币资本金相关结算业务时需在外汇局的资本项目系统中为相关主体办理外汇登记手续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原油和铁矿石期货保税交割业务暂免增值税"/>
      <w:bookmarkEnd w:id="31"/>
      <w:r>
        <w:t xml:space="preserve">原油和铁矿石期货保税交割业务暂免增值税</w:t>
      </w:r>
    </w:p>
    <w:p>
      <w:r>
        <w:t xml:space="preserve">日前，财政部、国税总局发布《关于原油和铁矿石期货保税交割业务增值税政策的通知》（下称《通知》），自2015年4月1日起执行。</w:t>
      </w:r>
    </w:p>
    <w:p>
      <w:r>
        <w:t xml:space="preserve">《通知》规定：上海国际能源交易中心股份有限公司的会员和客户通过该公司交易的原油期货保税交割业务，大连商品交易所的会员和客户通过该所交易的铁矿石期货保税交割业务，暂免征收增值税。同时，期货保税交割的销售方，在向主管税务机关申报纳税时，应出具当期期货保税交割的书面说明、上述公司或交易所的交割结算单、保税仓单等。《通知》明确，上述期货交易实际交割的原油和铁矿石，如进口或出口按现行货物税收政策执行。非保税货物期货实物交割仍按《国家税务总局关于下发〈货物期货征收增值税具体办法〉的通知》执行。</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国务院批准调整部分产品出口关税"/>
      <w:bookmarkEnd w:id="34"/>
      <w:r>
        <w:t xml:space="preserve">国务院批准调整部分产品出口关税</w:t>
      </w:r>
    </w:p>
    <w:p>
      <w:r>
        <w:t xml:space="preserve">日前，《国务院关税税则委员会关于调整部分产品出口关税的通知》（下称《通知》）发布，自2015年5月1日起实施调整。</w:t>
      </w:r>
    </w:p>
    <w:p>
      <w:r>
        <w:t xml:space="preserve">《通知》规定，取消钢铁颗粒粉末、稀土、钨、钼等产品的出口关税；对铝加工材等产品出口实施零税率。此次调整涉及94种出口产品，涉及取消关税的逾80个商品。调整前的税率分别从5％至25％不等。</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wto"/>
      <w:bookmarkEnd w:id="37"/>
      <w:r>
        <w:t xml:space="preserve">WTO</w:t>
      </w:r>
    </w:p>
    <w:p>
      <w:pPr>
        <w:pStyle w:val="Heading3"/>
      </w:pPr>
      <w:bookmarkStart w:id="38" w:name="国务院下发改进口岸工作支持外贸发展意见"/>
      <w:bookmarkEnd w:id="38"/>
      <w:r>
        <w:t xml:space="preserve">国务院下发改进口岸工作支持外贸发展意见</w:t>
      </w:r>
    </w:p>
    <w:p>
      <w:r>
        <w:t xml:space="preserve">4月17日，《国务院关于改进口岸工作支持外贸发展的若干意见》（下称《意见》）发布，旨在推动外贸稳定增长和转型升级。</w:t>
      </w:r>
    </w:p>
    <w:p>
      <w:r>
        <w:t xml:space="preserve">在口岸通关方面，《意见》要求，取缔进出口环节违规设立的行政事业性收费，规范进出口环节经营服务性收费，减轻外贸企业负担。推进通关作业无纸化。推进税费电子数据联网进程，取消纸质税单；研究取消纸质出口货物报关单（出口退税专用），税务部门可凭海关电子数据为企业办理出口退税手续。在海关特殊监管区域制度创新方面，《意见》指示，在上海自贸试验区的海关特殊监管区域内，推进内销选择性征收关税政策先行先试。在支持地方依托口岸发展经济方面，《意见》提出，完善免税店政策，优化口岸免税店空间布局等。</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外商投资"/>
      <w:bookmarkEnd w:id="41"/>
      <w:r>
        <w:t xml:space="preserve">外商投资</w:t>
      </w:r>
    </w:p>
    <w:p>
      <w:pPr>
        <w:pStyle w:val="Heading3"/>
      </w:pPr>
      <w:bookmarkStart w:id="42" w:name="商务部发布自由贸易试验区外商投资备案管理办法试行"/>
      <w:bookmarkEnd w:id="42"/>
      <w:r>
        <w:t xml:space="preserve">商务部发布《自由贸易试验区外商投资备案管理办法（试行）》</w:t>
      </w:r>
    </w:p>
    <w:p>
      <w:r>
        <w:t xml:space="preserve">4月8日，商务部发布《自由贸易试验区外商投资备案管理办法（试行）》（下称《办法》），自发布之日起30日后实施。</w:t>
      </w:r>
    </w:p>
    <w:p>
      <w:r>
        <w:t xml:space="preserve">根据《办法》，外国投资者在自贸试验区投资《自由贸易试验区外商投资准入特别管理措施（负面清单）》以外领域，外商投资企业设立、变更及合同章程备案，适用本办法。《办法》强调，外国投资者在自贸试验区投资设立企业，属于本办法规定的备案范围的，外国投资者在取得企业名称预核准通知书后，可在投资实施前，或投资实施之日起30日内，登录自贸试验区一口受理平台提交设立申报表。备案机构对申报事项是否属于备案范围进行甄别，属于本办法规定的备案范围的，备案机构应在3个工作日内完成备案。</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国务院印发沪粤津闽四省市自贸区方案"/>
      <w:bookmarkEnd w:id="45"/>
      <w:r>
        <w:t xml:space="preserve">国务院印发沪粤津闽四省市自贸区方案</w:t>
      </w:r>
    </w:p>
    <w:p>
      <w:r>
        <w:t xml:space="preserve">近日，国务院印发广东、天津、福建自由贸易试验区总体方案、进一步深化上海自贸区改革开放方案。</w:t>
      </w:r>
    </w:p>
    <w:p>
      <w:r>
        <w:t xml:space="preserve">根据上述方案，广东立足于推动内地与港澳经济深度合作，天津立足于推动京津冀协同发展，福建立足深化两岸经济合作，上海继续在货币自由兑换等担当先行者。其中，广东自贸区将推动人民币作为自贸试验区与港澳地区及国外跨境大额贸易和投资计价、结算的主要货币；天津自贸区鼓励在人民币跨境使用方面先行先试，鼓励企业充分利用境内外两种资源、两个市场，实现跨境融资自由化；福建自贸区将研究探索允许台资金融机构设立合资基金管理公司，台资持股比例可达50%以上；上海自贸区以资本项目可兑换和金融服务业开放为目标。</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国务院沪粤津闽自贸区外商投资负面清单出台"/>
      <w:bookmarkEnd w:id="48"/>
      <w:r>
        <w:t xml:space="preserve">国务院：沪粤津闽自贸区外商投资负面清单出台</w:t>
      </w:r>
    </w:p>
    <w:p>
      <w:r>
        <w:t xml:space="preserve">近日，国务院印发《自由贸易试验区外商投资准入特别管理措施（负面清单）》（下称《自贸区负面清单》），自印发之日起30日后实施，并适时调整。</w:t>
      </w:r>
    </w:p>
    <w:p>
      <w:r>
        <w:t xml:space="preserve">《自贸区负面清单》适用于上海、广东、天津、福建四个自由贸易试验区，依据《国民经济行业分类》（GB/T4754—2011）划分为15个门类、50个条目、122项特别管理措施，同时列明了不符合国民待遇等原则的外商投资准入特别管理措施。《自贸区负面清单》之外的领域，在自贸区内按照内外资一致原则实施管理。根据《自贸区负面清单》，证券公司和证券投资基金管理公司属于限制类，外资比例不超过49%。此外，外国律师事务所只能以代表机构的方式进入中国，在华设立代表机构、派驻代表，须经中国司法行政部门许可。</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自由贸易试验区外商投资国家安全审查试行办法发布"/>
      <w:bookmarkEnd w:id="51"/>
      <w:r>
        <w:t xml:space="preserve">自由贸易试验区外商投资国家安全审查试行办法发布</w:t>
      </w:r>
    </w:p>
    <w:p>
      <w:r>
        <w:t xml:space="preserve">国办日前印发《自由贸易试验区外商投资国家安全审查试行办法》（下称《办法》），自印发之日起30日后实施。</w:t>
      </w:r>
    </w:p>
    <w:p>
      <w:r>
        <w:t xml:space="preserve">《办法》明确了自贸区外商投资国家安全审查的范围、内容、工作机制和程序等。其中，安全审查范围为：外国投资者在自贸试验区内投资军工、军工配套和其他关系国防安全的领域，以及重点、敏感军事设施周边地域；外国投资者在自贸试验区内投资关系国家安全的重要农产品、重要能源和资源、重要基础设施、重要运输服务、重要文化、重要信息技术产品和服务、关键技术、重大装备制造等领域，并取得所投资企业的实际控制权。自贸区管理机构在办理职能范围内外商投资备案、核准或审核手续时，对属于安全审查范围的外商投资，应及时告知外国投资者提出安全审查申请，并暂停办理相关手续。</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水电站大坝运行安全监督管理规定公布"/>
      <w:bookmarkEnd w:id="55"/>
      <w:r>
        <w:t xml:space="preserve">水电站大坝运行安全监督管理规定公布</w:t>
      </w:r>
    </w:p>
    <w:p>
      <w:r>
        <w:t xml:space="preserve">日前，国家发改委对外公布《水电站大坝运行安全监督管理规定》（下称《规定》），自2015年4月1日起施行。</w:t>
      </w:r>
    </w:p>
    <w:p>
      <w:r>
        <w:t xml:space="preserve">《规定》适用于以发电为主、总装机容量五万千瓦及以上的大、中型水电站大坝。在运行管理方面，《规定》明确电力企业对大坝的各项责任。电力企业应保证大坝安全监测系统、泄洪消能和防护设施、应急电源等安全设施与大坝主体工程同时设计、施工、投入运行。在定期检查方面，《规定》要求大坝中心应当定期检查大坝安全状况，评定大坝安全等级。定期检查一般每五年进行一次。大坝安全等级分为正常坝、病坝和险坝三级。在注册登记方面，《规定》指出大坝运行实行安全注册登记制度。电力企业应在规定期限内申请办理大坝安全注册登记等。</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三部委发文要求商业银行合理确定和调整金融集成电路卡工本费收费水平"/>
      <w:bookmarkEnd w:id="58"/>
      <w:r>
        <w:t xml:space="preserve">三部委发文要求商业银行合理确定和调整金融集成电路卡工本费收费水平</w:t>
      </w:r>
    </w:p>
    <w:p>
      <w:r>
        <w:t xml:space="preserve">近日，国家发展改革委等三部门联合发布《关于商业银行合理确定和调整金融集成电路卡工本费收费水平有关问题的通知》（下称《通知》），自4月20日起执行。</w:t>
      </w:r>
    </w:p>
    <w:p>
      <w:r>
        <w:t xml:space="preserve">《通知》要求，向新开户的客户提供金融集成电路卡（下称“IC卡”），以及将客户原有磁条卡更换为IC卡时，对具备基本服务功能的IC卡，应按照“银行与客户共同分担制卡成本”的原则定价；对已持有IC卡的客户因损坏、丢失等自身原因申请换（补）卡时，可按照“补偿合理成本”的原则定价。《通知》表示，国家鼓励商业银行对客户实行银行卡工本费减免优惠。商业银行推广IC卡时应当坚持客户自愿原则，要保障持卡人的自主选择权，确保既有磁条卡继续正常使用，不得强制客户将磁条卡更换为IC卡。</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三部门发文推动电力燃煤发电企业等行业清洁生产"/>
      <w:bookmarkEnd w:id="61"/>
      <w:r>
        <w:t xml:space="preserve">三部门发文推动电力（燃煤发电企业）等行业清洁生产</w:t>
      </w:r>
    </w:p>
    <w:p>
      <w:r>
        <w:t xml:space="preserve">日前，国家发改委、环保部、工信部联合发布《电力（燃煤发电企业）行业清洁生产评价指标体系》（下称《指标体系》）等三个行业清洁生产评价指标体系。</w:t>
      </w:r>
    </w:p>
    <w:p>
      <w:r>
        <w:t xml:space="preserve">《指标体系》规定了燃煤发电企业清洁生产的一般要求。本指标体系将清洁生产指标分为五类，即生产工艺及设备指标、资源和能源消耗指标、资源综合利用指标、污染物排放指标和清洁生产管理指标。适用于燃煤发电企业的清洁生产审核、清洁生产潜力与机会判断、清洁生产绩效评定和清洁生产绩效公告制度，也适用于燃煤发电企业环境影响评价、排污许可证等资源能源消耗清洁生产管理需求，其他火力发电企业可参照执行。</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国务院发文促进展览业改革发展"/>
      <w:bookmarkEnd w:id="64"/>
      <w:r>
        <w:t xml:space="preserve">国务院发文促进展览业改革发展</w:t>
      </w:r>
    </w:p>
    <w:p>
      <w:r>
        <w:t xml:space="preserve">4月19日，《国务院关于进一步促进展览业改革发展的若干意见》（下称《意见》）对外发布。</w:t>
      </w:r>
    </w:p>
    <w:p>
      <w:r>
        <w:t xml:space="preserve">《意见》共分五大部分。在强化政策引导方面，《意见》要求落实财税政策、提高便利化水平。按照政府引导、市场化运作原则，通过优化公共服务，支持中小企业参加重点展会，鼓励展览机构到境外办展参展。落实小微企业增值税和营业税优惠政策，对属于《国务院关于推进文化创意和设计服务与相关产业融合发展的若干意见》税收政策范围的创意和设计费用，执行税前加计扣除政策，促进展览企业及相关配套服务企业健康发展；进一步优化展品出入境监管方式方法，提高展品出入境通关效率。同时引导、培育展览业重点企业成为海关高信用企业，适用海关通关便利措施。</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发改委下调燃煤发电上网电价和工商业用电价格"/>
      <w:bookmarkEnd w:id="67"/>
      <w:r>
        <w:t xml:space="preserve">发改委下调燃煤发电上网电价和工商业用电价格</w:t>
      </w:r>
    </w:p>
    <w:p>
      <w:r>
        <w:t xml:space="preserve">近日，《国家发展改革委关于降低燃煤发电上网电价和工商业用电价格的通知》（下称《通知》）发布。</w:t>
      </w:r>
    </w:p>
    <w:p>
      <w:r>
        <w:t xml:space="preserve">《通知》决定，自2015年4月20日起，将全国燃煤发电上网电价平均每千瓦时降低约2分钱，工商业用电价格平均每千瓦时降低约1.8分钱。《通知》要求，各地燃煤发电上网电价具体降价标准原则上根据煤电价格联动机制和当地煤价变动情况确定；降低燃煤发电上网电价形成的空间，除适当疏导天然气发电和脱硝、除尘和超低排放环保电价等矛盾外，全部用于降低工商业用电价格；解决江西、贵州和新疆工商用电同价问题。此外，《通知》提出，继续加大对高耗能行业、产能严重过剩行业实施差别电价、惩罚性电价和阶梯电价政策的执行力度。</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煤矿建设项目安全设施竣工验收监督核查暂行办法印发"/>
      <w:bookmarkEnd w:id="70"/>
      <w:r>
        <w:t xml:space="preserve">煤矿建设项目安全设施竣工验收监督核查暂行办法印发</w:t>
      </w:r>
    </w:p>
    <w:p>
      <w:r>
        <w:t xml:space="preserve">日前，安监总局、国家煤矿安监局印发《煤矿建设项目安全设施竣工验收监督核查暂行办法》（下称《办法》），自发布之日起施行。</w:t>
      </w:r>
    </w:p>
    <w:p>
      <w:r>
        <w:t xml:space="preserve">《办法》明确了煤矿建设项目组织安全设施竣工验收的条件，包括按批准的安全设施设计建设完成；单项工程经过工程质量机构认证，并取得质量合格认证书；安全验收评价合格；取得采矿许可证，矿长和安全管理人员取得安全资格证，特种作业人员经培训取得资格证书等。。《办法》强调，煤矿建设项目在建设过程中，若采煤方法及工艺发生变化或首采区及首采工作面布置发生变化，修改设计后未经原设计审查单位批复同意的，不得组织竣工验收。</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知识产权"/>
      <w:bookmarkEnd w:id="73"/>
      <w:r>
        <w:t xml:space="preserve">知识产权</w:t>
      </w:r>
    </w:p>
    <w:p>
      <w:pPr>
        <w:pStyle w:val="Heading3"/>
      </w:pPr>
      <w:bookmarkStart w:id="74" w:name="国家版权局发文规范网络转载版权秩序"/>
      <w:bookmarkEnd w:id="74"/>
      <w:r>
        <w:t xml:space="preserve">国家版权局发文规范网络转载版权秩序</w:t>
      </w:r>
    </w:p>
    <w:p>
      <w:r>
        <w:t xml:space="preserve">国家版权局日前发布《关于规范网络转载版权秩序的通知》（下称《通知》），明确互联网媒体转载他人作品，应当遵守著作权法律法规的相关规定，必须经过著作权人许可并支付报酬，并应当指明作者姓名、作品名称及作品来源。</w:t>
      </w:r>
    </w:p>
    <w:p>
      <w:r>
        <w:t xml:space="preserve">《通知》规定，互联网媒体转载他人作品，不得对作品内容进行实质性修改；对标题和内容做文字性修改和删节的，不得歪曲篡改标题和作品的原意。《通知》要求，报刊单位与互联网媒体、互联网媒体之间应当通过签订版权许可协议等方式建立网络转载版权合作机制，加强对转载作品的版权审核，共同探索合理的授权价格体系，进一步完善作品的授权交易机制。</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并购"/>
      <w:bookmarkEnd w:id="77"/>
      <w:r>
        <w:t xml:space="preserve">并购</w:t>
      </w:r>
    </w:p>
    <w:p>
      <w:pPr>
        <w:pStyle w:val="Heading3"/>
      </w:pPr>
      <w:bookmarkStart w:id="78" w:name="新华联5.5亿并购金六福"/>
      <w:bookmarkEnd w:id="78"/>
      <w:r>
        <w:t xml:space="preserve">新华联5.5亿并购金六福</w:t>
      </w:r>
    </w:p>
    <w:p>
      <w:r>
        <w:t xml:space="preserve">新华联4月23日公告，公司全资子公司新华联国际置地有限公司4月22日与JLF BVI签订附生效条款的《金六福股权转让协议》。根据股权转让协议，JLF BVI同意将其持有的8.411亿股金六福股份转让给新华联国际置地，总交易金额5.55亿港元，交易股份数占金六福总股份数的50.41%。</w:t>
      </w:r>
    </w:p>
    <w:p>
      <w:r>
        <w:t xml:space="preserve">股权转让完成后，新华联国际置地需根据香港联交所的相关规定履行要约收购义务。</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森源电气1.5亿揽北京东标电气55股权"/>
      <w:bookmarkEnd w:id="81"/>
      <w:r>
        <w:t xml:space="preserve">森源电气1.5亿揽北京东标电气55%股权</w:t>
      </w:r>
    </w:p>
    <w:p>
      <w:r>
        <w:t xml:space="preserve">森源电气4月22日公告，公司于2015年4月21日与自然人周继华签订《股权转让协议》，拟以1.55亿元的价格收购其持有的北京东标电气股份有限公司（以下简称“东标公司”）55%股权。</w:t>
      </w:r>
    </w:p>
    <w:p>
      <w:r>
        <w:t xml:space="preserve">转让协议显示，周继华以每股3.19元的价格将其持有的东标公司55%股权（折合4867.5万股）转让给森源电气，总转让价款为15529.75万元。交易完成后，森源电气将持有东标公司55％股权，周继华持有东标公司30.54%股权。届时，东标公司将作为森源电气的控股子公司纳入合并报表范围。</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茂业物流12亿现金大股东协议转股吞并长实通信"/>
      <w:bookmarkEnd w:id="84"/>
      <w:r>
        <w:t xml:space="preserve">茂业物流12亿现金+大股东协议转股吞并长实通信</w:t>
      </w:r>
    </w:p>
    <w:p>
      <w:r>
        <w:t xml:space="preserve">茂业物流在12亿元现金收购长实通信100%股权的基础上，加上大股东协议转让股份的“特效”，创新了“分离式”重组模式。</w:t>
      </w:r>
    </w:p>
    <w:p>
      <w:r>
        <w:t xml:space="preserve">根据协议，茂业物流以12亿元的现金购买长实通信100%股权。其中，向长实通信控股股东长实网络支付7.60亿元现金（分两期支付），向其他股东按持股比例支付剩余现金。同时，上市公司控股股东中兆投资以协议转让方式向长实通信实际控制人邹军转让其持有的茂业物流1000万股，转让价格参照茂业物流停牌前二十日均价，即10.94元/股。控股股东本次协议转让以前述上市公司购买资产通过董事会、股东大会审核为前提条件，于长实通信100%股权交割过户至上市公司后实施。</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3"/>
      </w:pPr>
      <w:bookmarkStart w:id="87" w:name="风华高科-5.92亿元收购奈电科技"/>
      <w:bookmarkEnd w:id="87"/>
      <w:r>
        <w:t xml:space="preserve">风华高科 5.92亿元收购奈电科技</w:t>
      </w:r>
    </w:p>
    <w:p>
      <w:r>
        <w:t xml:space="preserve">风华高科拟以非公开发行股份及支付现金方式收购奈电软性科技电子（珠海）有限公司100%股权，交易的总对价确定为5.92亿元。</w:t>
      </w:r>
    </w:p>
    <w:p>
      <w:r>
        <w:t xml:space="preserve">这也是公司去年底刚募资12亿扩产超小型阻容感元件后，欲加速布局移动及可穿戴设备产业链。据介绍，奈电科技成立于2004年，一直专注于FPC（柔性线路板）产品。主要产品包括FPC单面板、双面板、多层板及软硬结合板，年生产能力在20万平方米以上。奈电科技是目前国内最大的移动及可穿戴设备Rigid-Flex（软硬结合板）供应商，也是国内最大的智能手机摄像头用COF&amp;COB基板供应商，市场占有约为15%，产品最终应用包括华为、小米、黑莓、联想、TCL、OPPO、中兴、酷派等智能手机，应用于智能服务机器人的FPCA产品已实现批量供货。</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2"/>
      </w:pPr>
      <w:bookmarkStart w:id="90" w:name="其他"/>
      <w:bookmarkEnd w:id="90"/>
      <w:r>
        <w:t xml:space="preserve">其他</w:t>
      </w:r>
    </w:p>
    <w:p>
      <w:pPr>
        <w:pStyle w:val="Heading3"/>
      </w:pPr>
      <w:bookmarkStart w:id="91" w:name="职业健康检查管理办法公布"/>
      <w:bookmarkEnd w:id="91"/>
      <w:r>
        <w:t xml:space="preserve">《职业健康检查管理办法》公布</w:t>
      </w:r>
    </w:p>
    <w:p>
      <w:r>
        <w:t xml:space="preserve">近日，国家卫计委发布《职业健康检查管理办法》（下称《办法》），自2015年5月1日起施行。</w:t>
      </w:r>
    </w:p>
    <w:p>
      <w:r>
        <w:t xml:space="preserve">《办法》所称职业健康检查是指医疗卫生机构按照国家有关规定，对从事接触职业病危害作业的劳动者进行的上岗前、在岗期间、离岗时的健康检查。《办法》规定，职业健康检查机构未指定主检医师或者指定的主检医师未取得职业病诊断资格的、未建立职业健康检查档案的、违反办法其他有关规定的，由县级以上地方卫生计生行政部门责令限期改正，并给予警告；逾期不改的，处五千元以上三万元以下罚款。《办法》明确，职业健康检查机构应当建立职业健康检查档案。职业健康检查档案保存时间应当自劳动者最后一次职业健康检查结束之日起不少于15年。</w:t>
      </w:r>
    </w:p>
    <w:p>
      <w:hyperlink r:id="rId92">
        <w:r>
          <w:rPr>
            <w:rStyle w:val="Link"/>
          </w:rPr>
          <w:t xml:space="preserve">来源</w:t>
        </w:r>
      </w:hyperlink>
      <w:r>
        <w:t xml:space="preserve"> </w:t>
      </w:r>
      <w:r>
        <w:t xml:space="preserve">(</w:t>
      </w:r>
      <w:hyperlink r:id="rId93">
        <w:r>
          <w:rPr>
            <w:rStyle w:val="Link"/>
          </w:rPr>
          <w:t xml:space="preserve">副本</w:t>
        </w:r>
      </w:hyperlink>
      <w:r>
        <w:t xml:space="preserve">)</w:t>
      </w:r>
    </w:p>
    <w:p>
      <w:pPr>
        <w:pStyle w:val="Heading3"/>
      </w:pPr>
      <w:bookmarkStart w:id="94" w:name="安监总局修改生产安全事故报告和调查处理条例罚款处罚暂行规定"/>
      <w:bookmarkEnd w:id="94"/>
      <w:r>
        <w:t xml:space="preserve">安监总局修改《〈生产安全事故报告和调查处理条例〉罚款处罚暂行规定》</w:t>
      </w:r>
    </w:p>
    <w:p>
      <w:r>
        <w:t xml:space="preserve">日前，安监总局对《〈生产安全事故报告和调查处理条例〉罚款处罚暂行规定》（下称《规定》）等四部规章作出修改，自2015年5月1日起施行。</w:t>
      </w:r>
    </w:p>
    <w:p>
      <w:r>
        <w:t xml:space="preserve">《规定》更名为《生产安全事故罚款处罚规定（试行）》。修改过的《规定》细化了事故发生单位及其主要负责人责任。其中，《规定》第十四条修改为：“事故发生单位对造成3人以下死亡，或者3人以上10人以下重伤（包括急性工业中毒，下同），或者300万元以上1000万元以下直接经济损失的一般事故负有责任的，处20万元以上50万元以下的罚款。事故发生单位有本条第一款规定的行为且有谎报或者瞒报事故情节的，处50万元的罚款。”此外，《规定》还有其他十处修改、调整。</w:t>
      </w:r>
    </w:p>
    <w:p>
      <w:hyperlink r:id="rId95">
        <w:r>
          <w:rPr>
            <w:rStyle w:val="Link"/>
          </w:rPr>
          <w:t xml:space="preserve">来源</w:t>
        </w:r>
      </w:hyperlink>
      <w:r>
        <w:t xml:space="preserve"> </w:t>
      </w:r>
      <w:r>
        <w:t xml:space="preserve">(</w:t>
      </w:r>
      <w:hyperlink r:id="rId96">
        <w:r>
          <w:rPr>
            <w:rStyle w:val="Link"/>
          </w:rPr>
          <w:t xml:space="preserve">副本</w:t>
        </w:r>
      </w:hyperlink>
      <w:r>
        <w:t xml:space="preserve">)</w:t>
      </w:r>
    </w:p>
    <w:p>
      <w:pPr>
        <w:pStyle w:val="Heading3"/>
      </w:pPr>
      <w:bookmarkStart w:id="97" w:name="四部委发布意见促进国家级新区健康发展"/>
      <w:bookmarkEnd w:id="97"/>
      <w:r>
        <w:t xml:space="preserve">四部委发布意见促进国家级新区健康发展</w:t>
      </w:r>
    </w:p>
    <w:p>
      <w:r>
        <w:t xml:space="preserve">近日，国家发展改革委等四部委发布《关于促进国家级新区健康发展的指导意见》（下称《意见》），从优化发展环境、推动产业优化升级等角度提出24项具体指导意见。</w:t>
      </w:r>
    </w:p>
    <w:p>
      <w:r>
        <w:t xml:space="preserve">《意见》明确，要保持新区的经济增长速度在比较长的时期内快于所在省（区、市）的总体水平，通过园区招商、以商招商，创新招商选资、引智模式，积极吸引社会投资。《意见》鼓励银行业金融机构加大信贷投放力度，创新金融产品。支持新区符合条件的企业通过发行企业债券、中期票据、保险信托计划等多种融资方式筹集建设资金。此外，新区建设尽量少占或不占优质耕地，不得擅自改变或调整占用基本农田，确需调整基本农田布局的，报国务院批准。</w:t>
      </w:r>
    </w:p>
    <w:p>
      <w:hyperlink r:id="rId98">
        <w:r>
          <w:rPr>
            <w:rStyle w:val="Link"/>
          </w:rPr>
          <w:t xml:space="preserve">来源</w:t>
        </w:r>
      </w:hyperlink>
      <w:r>
        <w:t xml:space="preserve"> </w:t>
      </w:r>
      <w:r>
        <w:t xml:space="preserve">(</w:t>
      </w:r>
      <w:hyperlink r:id="rId9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0">
        <w:r>
          <w:rPr>
            <w:rStyle w:val="Link"/>
          </w:rPr>
          <w:t xml:space="preserve">unsubscribe@charltonslaw.com</w:t>
        </w:r>
      </w:hyperlink>
    </w:p>
    <w:p>
      <w:r>
        <w:rPr>
          <w:b/>
        </w:rPr>
        <w:t xml:space="preserve">易周律师行 - 法讯 - 中国 - 第452期 - 2015年04月24日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723ba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86" Target="19.pdf" TargetMode="External" /><Relationship Type="http://schemas.openxmlformats.org/officeDocument/2006/relationships/hyperlink" Id="rId29" Target="2.pdf" TargetMode="External" /><Relationship Type="http://schemas.openxmlformats.org/officeDocument/2006/relationships/hyperlink" Id="rId89" Target="20.pdf" TargetMode="External" /><Relationship Type="http://schemas.openxmlformats.org/officeDocument/2006/relationships/hyperlink" Id="rId93" Target="21.pdf" TargetMode="External" /><Relationship Type="http://schemas.openxmlformats.org/officeDocument/2006/relationships/hyperlink" Id="rId96" Target="22.pdf" TargetMode="External" /><Relationship Type="http://schemas.openxmlformats.org/officeDocument/2006/relationships/hyperlink" Id="rId99" Target="23.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85" Target="http://epaper.stcn.com/paper/zqsb/html/2015-04/21/content_676892.htm" TargetMode="External" /><Relationship Type="http://schemas.openxmlformats.org/officeDocument/2006/relationships/hyperlink" Id="rId82" Target="http://epaper.stcn.com/paper/zqsb/html/2015-04/22/content_678050.htm" TargetMode="External" /><Relationship Type="http://schemas.openxmlformats.org/officeDocument/2006/relationships/hyperlink" Id="rId79" Target="http://epaper.stcn.com/paper/zqsb/html/epaper/index/content_678952.htm" TargetMode="External" /><Relationship Type="http://schemas.openxmlformats.org/officeDocument/2006/relationships/hyperlink" Id="rId88" Target="http://epaper.stcn.com/paper/zqsb/html/epaper/index/content_679790.htm" TargetMode="External" /><Relationship Type="http://schemas.openxmlformats.org/officeDocument/2006/relationships/hyperlink" Id="rId35" Target="http://gss.mof.gov.cn/zhengwuxinxi/zhengcefabu/201504/t20150423_1221830.html" TargetMode="External" /><Relationship Type="http://schemas.openxmlformats.org/officeDocument/2006/relationships/hyperlink" Id="rId46" Target="http://news.163.com/15/0421/01/ANMILMNL00014Q4P.html" TargetMode="External" /><Relationship Type="http://schemas.openxmlformats.org/officeDocument/2006/relationships/hyperlink" Id="rId28" Target="http://shanghai.pbc.gov.cn/publish/fzh_shanghai/4187/2015/20150422160216484772102/20150422160216484772102_.html" TargetMode="External" /><Relationship Type="http://schemas.openxmlformats.org/officeDocument/2006/relationships/hyperlink" Id="rId32" Target="http://szs.mof.gov.cn/zhengwuxinxi/zhengcefabu/201504/t20150415_1217341.html" TargetMode="External" /><Relationship Type="http://schemas.openxmlformats.org/officeDocument/2006/relationships/hyperlink" Id="rId21" Target="http://www.charltonslaw.com.cn/china-news-alerts-cn-issue-452/" TargetMode="External" /><Relationship Type="http://schemas.openxmlformats.org/officeDocument/2006/relationships/hyperlink" Id="rId95" Target="http://www.chinasafety.gov.cn/newpage/Contents/Channel_5330/2015/0420/248925/content_248925.htm" TargetMode="External" /><Relationship Type="http://schemas.openxmlformats.org/officeDocument/2006/relationships/hyperlink" Id="rId71" Target="http://www.chinasafety.gov.cn/newpage/Contents/Channel_6288/2015/0422/248988/content_248988.htm" TargetMode="External" /><Relationship Type="http://schemas.openxmlformats.org/officeDocument/2006/relationships/hyperlink" Id="rId39" Target="http://www.gov.cn/zhengce/content/2015-04/17/content_9617.htm" TargetMode="External" /><Relationship Type="http://schemas.openxmlformats.org/officeDocument/2006/relationships/hyperlink" Id="rId65" Target="http://www.gov.cn/zhengce/content/2015-04/19/content_9621.htm" TargetMode="External" /><Relationship Type="http://schemas.openxmlformats.org/officeDocument/2006/relationships/hyperlink" Id="rId49" Target="http://www.gov.cn/zhengce/content/2015-04/20/content_9627.htm" TargetMode="External" /><Relationship Type="http://schemas.openxmlformats.org/officeDocument/2006/relationships/hyperlink" Id="rId52" Target="http://www.gov.cn/zhengce/content/2015-04/20/content_9629.htm" TargetMode="External" /><Relationship Type="http://schemas.openxmlformats.org/officeDocument/2006/relationships/hyperlink" Id="rId43" Target="http://www.mofcom.gov.cn/article/b/f/201504/20150400946303.shtml" TargetMode="External" /><Relationship Type="http://schemas.openxmlformats.org/officeDocument/2006/relationships/hyperlink" Id="rId75" Target="http://www.ncac.gov.cn/chinacopyright/contents/483/249606.html" TargetMode="External" /><Relationship Type="http://schemas.openxmlformats.org/officeDocument/2006/relationships/hyperlink" Id="rId92" Target="http://www.nhfpc.gov.cn/fzs/s3576/201504/057ae9399d4c4b6f962469c706762b99.shtml" TargetMode="External" /><Relationship Type="http://schemas.openxmlformats.org/officeDocument/2006/relationships/hyperlink" Id="rId68" Target="http://www.sdpc.gov.cn/gzdt/201504/t20150417_688506.html" TargetMode="External" /><Relationship Type="http://schemas.openxmlformats.org/officeDocument/2006/relationships/hyperlink" Id="rId62" Target="http://www.sdpc.gov.cn/gzdt/201504/t20150420_688598.html" TargetMode="External" /><Relationship Type="http://schemas.openxmlformats.org/officeDocument/2006/relationships/hyperlink" Id="rId59" Target="http://www.sdpc.gov.cn/gzdt/201504/t20150420_688763.html" TargetMode="External" /><Relationship Type="http://schemas.openxmlformats.org/officeDocument/2006/relationships/hyperlink" Id="rId98" Target="http://www.sdpc.gov.cn/gzdt/201504/t20150423_689072.html" TargetMode="External" /><Relationship Type="http://schemas.openxmlformats.org/officeDocument/2006/relationships/hyperlink" Id="rId56" Target="http://www.sdpc.gov.cn/zcfb/zcfbl/201504/t20150420_688651.html" TargetMode="External" /><Relationship Type="http://schemas.openxmlformats.org/officeDocument/2006/relationships/hyperlink" Id="rId25" Target="http://yss.mof.gov.cn/zhengwuxinxi/zhengceguizhang/201504/t20150417_1218483.html" TargetMode="External" /><Relationship Type="http://schemas.openxmlformats.org/officeDocument/2006/relationships/hyperlink" Id="rId10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6" Target="16.pdf" TargetMode="External" /><Relationship Type="http://schemas.openxmlformats.org/officeDocument/2006/relationships/hyperlink" Id="rId80" Target="17.pdf" TargetMode="External" /><Relationship Type="http://schemas.openxmlformats.org/officeDocument/2006/relationships/hyperlink" Id="rId83" Target="18.pdf" TargetMode="External" /><Relationship Type="http://schemas.openxmlformats.org/officeDocument/2006/relationships/hyperlink" Id="rId86" Target="19.pdf" TargetMode="External" /><Relationship Type="http://schemas.openxmlformats.org/officeDocument/2006/relationships/hyperlink" Id="rId29" Target="2.pdf" TargetMode="External" /><Relationship Type="http://schemas.openxmlformats.org/officeDocument/2006/relationships/hyperlink" Id="rId89" Target="20.pdf" TargetMode="External" /><Relationship Type="http://schemas.openxmlformats.org/officeDocument/2006/relationships/hyperlink" Id="rId93" Target="21.pdf" TargetMode="External" /><Relationship Type="http://schemas.openxmlformats.org/officeDocument/2006/relationships/hyperlink" Id="rId96" Target="22.pdf" TargetMode="External" /><Relationship Type="http://schemas.openxmlformats.org/officeDocument/2006/relationships/hyperlink" Id="rId99" Target="23.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85" Target="http://epaper.stcn.com/paper/zqsb/html/2015-04/21/content_676892.htm" TargetMode="External" /><Relationship Type="http://schemas.openxmlformats.org/officeDocument/2006/relationships/hyperlink" Id="rId82" Target="http://epaper.stcn.com/paper/zqsb/html/2015-04/22/content_678050.htm" TargetMode="External" /><Relationship Type="http://schemas.openxmlformats.org/officeDocument/2006/relationships/hyperlink" Id="rId79" Target="http://epaper.stcn.com/paper/zqsb/html/epaper/index/content_678952.htm" TargetMode="External" /><Relationship Type="http://schemas.openxmlformats.org/officeDocument/2006/relationships/hyperlink" Id="rId88" Target="http://epaper.stcn.com/paper/zqsb/html/epaper/index/content_679790.htm" TargetMode="External" /><Relationship Type="http://schemas.openxmlformats.org/officeDocument/2006/relationships/hyperlink" Id="rId35" Target="http://gss.mof.gov.cn/zhengwuxinxi/zhengcefabu/201504/t20150423_1221830.html" TargetMode="External" /><Relationship Type="http://schemas.openxmlformats.org/officeDocument/2006/relationships/hyperlink" Id="rId46" Target="http://news.163.com/15/0421/01/ANMILMNL00014Q4P.html" TargetMode="External" /><Relationship Type="http://schemas.openxmlformats.org/officeDocument/2006/relationships/hyperlink" Id="rId28" Target="http://shanghai.pbc.gov.cn/publish/fzh_shanghai/4187/2015/20150422160216484772102/20150422160216484772102_.html" TargetMode="External" /><Relationship Type="http://schemas.openxmlformats.org/officeDocument/2006/relationships/hyperlink" Id="rId32" Target="http://szs.mof.gov.cn/zhengwuxinxi/zhengcefabu/201504/t20150415_1217341.html" TargetMode="External" /><Relationship Type="http://schemas.openxmlformats.org/officeDocument/2006/relationships/hyperlink" Id="rId21" Target="http://www.charltonslaw.com.cn/china-news-alerts-cn-issue-452/" TargetMode="External" /><Relationship Type="http://schemas.openxmlformats.org/officeDocument/2006/relationships/hyperlink" Id="rId95" Target="http://www.chinasafety.gov.cn/newpage/Contents/Channel_5330/2015/0420/248925/content_248925.htm" TargetMode="External" /><Relationship Type="http://schemas.openxmlformats.org/officeDocument/2006/relationships/hyperlink" Id="rId71" Target="http://www.chinasafety.gov.cn/newpage/Contents/Channel_6288/2015/0422/248988/content_248988.htm" TargetMode="External" /><Relationship Type="http://schemas.openxmlformats.org/officeDocument/2006/relationships/hyperlink" Id="rId39" Target="http://www.gov.cn/zhengce/content/2015-04/17/content_9617.htm" TargetMode="External" /><Relationship Type="http://schemas.openxmlformats.org/officeDocument/2006/relationships/hyperlink" Id="rId65" Target="http://www.gov.cn/zhengce/content/2015-04/19/content_9621.htm" TargetMode="External" /><Relationship Type="http://schemas.openxmlformats.org/officeDocument/2006/relationships/hyperlink" Id="rId49" Target="http://www.gov.cn/zhengce/content/2015-04/20/content_9627.htm" TargetMode="External" /><Relationship Type="http://schemas.openxmlformats.org/officeDocument/2006/relationships/hyperlink" Id="rId52" Target="http://www.gov.cn/zhengce/content/2015-04/20/content_9629.htm" TargetMode="External" /><Relationship Type="http://schemas.openxmlformats.org/officeDocument/2006/relationships/hyperlink" Id="rId43" Target="http://www.mofcom.gov.cn/article/b/f/201504/20150400946303.shtml" TargetMode="External" /><Relationship Type="http://schemas.openxmlformats.org/officeDocument/2006/relationships/hyperlink" Id="rId75" Target="http://www.ncac.gov.cn/chinacopyright/contents/483/249606.html" TargetMode="External" /><Relationship Type="http://schemas.openxmlformats.org/officeDocument/2006/relationships/hyperlink" Id="rId92" Target="http://www.nhfpc.gov.cn/fzs/s3576/201504/057ae9399d4c4b6f962469c706762b99.shtml" TargetMode="External" /><Relationship Type="http://schemas.openxmlformats.org/officeDocument/2006/relationships/hyperlink" Id="rId68" Target="http://www.sdpc.gov.cn/gzdt/201504/t20150417_688506.html" TargetMode="External" /><Relationship Type="http://schemas.openxmlformats.org/officeDocument/2006/relationships/hyperlink" Id="rId62" Target="http://www.sdpc.gov.cn/gzdt/201504/t20150420_688598.html" TargetMode="External" /><Relationship Type="http://schemas.openxmlformats.org/officeDocument/2006/relationships/hyperlink" Id="rId59" Target="http://www.sdpc.gov.cn/gzdt/201504/t20150420_688763.html" TargetMode="External" /><Relationship Type="http://schemas.openxmlformats.org/officeDocument/2006/relationships/hyperlink" Id="rId98" Target="http://www.sdpc.gov.cn/gzdt/201504/t20150423_689072.html" TargetMode="External" /><Relationship Type="http://schemas.openxmlformats.org/officeDocument/2006/relationships/hyperlink" Id="rId56" Target="http://www.sdpc.gov.cn/zcfb/zcfbl/201504/t20150420_688651.html" TargetMode="External" /><Relationship Type="http://schemas.openxmlformats.org/officeDocument/2006/relationships/hyperlink" Id="rId25" Target="http://yss.mof.gov.cn/zhengwuxinxi/zhengceguizhang/201504/t20150417_1218483.html" TargetMode="External" /><Relationship Type="http://schemas.openxmlformats.org/officeDocument/2006/relationships/hyperlink" Id="rId10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第452期 - 2015年04月24日</dc:title>
  <dc:creator/>
</cp:coreProperties>
</file>