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第454期</w:t>
      </w:r>
      <w:r>
        <w:t xml:space="preserve"> </w:t>
      </w:r>
      <w:r>
        <w:t xml:space="preserve">-</w:t>
      </w:r>
      <w:r>
        <w:t xml:space="preserve"> </w:t>
      </w:r>
      <w:r>
        <w:t xml:space="preserve">2015年05月08日</w:t>
      </w:r>
    </w:p>
    <w:p>
      <w:hyperlink r:id="rId21">
        <w:r>
          <w:rPr>
            <w:rStyle w:val="Link"/>
          </w:rPr>
          <w:t xml:space="preserve">网络版</w:t>
        </w:r>
      </w:hyperlink>
    </w:p>
    <w:p>
      <w:pPr>
        <w:pStyle w:val="Heading1"/>
      </w:pPr>
      <w:bookmarkStart w:id="22" w:name="法讯中国第454期"/>
      <w:bookmarkEnd w:id="22"/>
      <w:r>
        <w:t xml:space="preserve">法讯中国第454期</w:t>
      </w:r>
    </w:p>
    <w:p>
      <w:pPr>
        <w:pStyle w:val="Heading3"/>
      </w:pPr>
      <w:bookmarkStart w:id="23" w:name="资本市场"/>
      <w:bookmarkEnd w:id="23"/>
      <w:r>
        <w:t xml:space="preserve">资本市场</w:t>
      </w:r>
    </w:p>
    <w:p>
      <w:pPr>
        <w:pStyle w:val="Heading3"/>
      </w:pPr>
      <w:bookmarkStart w:id="24" w:name="财政部印发关于地方政府专项债券会计核算问题的通知"/>
      <w:bookmarkEnd w:id="24"/>
      <w:r>
        <w:t xml:space="preserve">财政部印发《关于地方政府专项债券会计核算问题的通知》</w:t>
      </w:r>
    </w:p>
    <w:p>
      <w:r>
        <w:t xml:space="preserve">近日，财政部印发《关于地方政府专项债券会计核算问题的通知》（下称《通知》），自印发之日起执行。</w:t>
      </w:r>
    </w:p>
    <w:p>
      <w:r>
        <w:t xml:space="preserve">《通知》明确了专项债券发行、转贷、收入安排支出、还本、付息、发行相关费用的会计处理、通过年终结算扣缴专项债券本息费的会计处理以及年终转账的会计处理等事项。其中，省级财政部门实际收到地方政府专项债券发行收入时，借：国库存款，贷：债务收入——地方政府债务收入——专项债务收入——**基金债务收入。此外，地方各级财政部门应设置相应的辅助账，详细记录发行、收到和转贷的地方政府专项债券金额、种类、期限、发行日、到期日、票面利率、偿还及付息情况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修订会员管理规则"/>
      <w:bookmarkEnd w:id="27"/>
      <w:r>
        <w:t xml:space="preserve">深交所修订会员管理规则</w:t>
      </w:r>
    </w:p>
    <w:p>
      <w:r>
        <w:t xml:space="preserve">近日，经中国证监会批准，深交所发布了《会员管理规则》（2015年修订），新规则自发布之日起施行。</w:t>
      </w:r>
    </w:p>
    <w:p>
      <w:r>
        <w:t xml:space="preserve">本次修订健全了投资者适当性管理制度，要求会员建立客户分类产品分级管理机制，以风险揭示与准入管理为核心，将合适的场内产品提供给合适的投资者；明确退市等高风险证券的风险警示信息送达机制，要求会员及时向投资者提示风险。同时，加强了会员客户交易行为管理，引导投资者合法合规参与交易，要求会员健全交易监控系统，将异常交易行为及时告知、提醒客户，维护市场交易秩序；建立重点监控账户管理制度，对存在严重异常交易情况的账户进行重点监控。本次修订还完善了交易参与人管理制度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务院鼓励互联网企业在境内上市"/>
      <w:bookmarkEnd w:id="30"/>
      <w:r>
        <w:t xml:space="preserve">国务院：鼓励互联网企业在境内上市</w:t>
      </w:r>
    </w:p>
    <w:p>
      <w:r>
        <w:t xml:space="preserve">5月7日，国务院发布《关于大力发展电子商务加快培育经济新动力的意见》，部署进一步促进电子商务创新发展。《意见》要求研究鼓励符合条件的互联网企业在境内上市等相关政策，鼓励证券、保险、公募基金等企业和机构依法进行网络化创新。</w:t>
      </w:r>
    </w:p>
    <w:p>
      <w:r>
        <w:t xml:space="preserve">《意见》要求，简化境内电子商务企业海外上市审批流程，鼓励电子商务领域的跨境人民币直接投资，研究鼓励符合条件的互联网企业在境内上市等相关政策，规范网络化金融服务新产品。鼓励证券、保险、公募基金等企业和机构依法进行网络化创新，完善互联网保险产品审核和信息披露制度，探索建立适应互联网证券、保险、公募基金产品销售等互联网金融活动的新型监管方式。鼓励国家政策性银行在业务范围内加大对电子商务企业境外投资并购的贷款支持，研究制定针对电子商务企业境外上市的规范管理政策等。</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税收"/>
      <w:bookmarkEnd w:id="33"/>
      <w:r>
        <w:t xml:space="preserve">税收</w:t>
      </w:r>
    </w:p>
    <w:p>
      <w:pPr>
        <w:pStyle w:val="Heading3"/>
      </w:pPr>
      <w:bookmarkStart w:id="34" w:name="生产经营所得及减免税事项个税申报新规发布"/>
      <w:bookmarkEnd w:id="34"/>
      <w:r>
        <w:t xml:space="preserve">生产经营所得及减免税事项个税申报新规发布</w:t>
      </w:r>
    </w:p>
    <w:p>
      <w:r>
        <w:t xml:space="preserve">近日，《国家税务总局关于发布生产经营所得及减免税事项有关个人所得税申报表的公告》（下称《公告》）下发，自2015年7月1日起执行。</w:t>
      </w:r>
    </w:p>
    <w:p>
      <w:r>
        <w:t xml:space="preserve">根据《公告》，个人所得税生产经营所得纳税申报表（A表）主要用于个体工商户、企事业单位承包承租经营者、个人独资企业投资者和合伙企业合伙人取得“个体工商户的生产、经营所得”或“对企事业单位的承包经营、承租经营所得”的个人所得税月度（季度）纳税申报。此次申报表修改将之前的按当期数填报的方式调整为按当年累计数填报的方式。《公告》对B表和C表的适用对象也作出规定。此外，个人所得税减免税事项报告表主要用于存在减免税情形时，纳税人或扣缴义务人报送减免税的具体情况。</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国税总局发文创新自贸试验区税收服务措施"/>
      <w:bookmarkEnd w:id="37"/>
      <w:r>
        <w:t xml:space="preserve">国税总局发文创新自贸试验区税收服务措施</w:t>
      </w:r>
    </w:p>
    <w:p>
      <w:r>
        <w:t xml:space="preserve">日前，《国家税务总局关于创新自由贸易试验区税收服务措施的通知》（下称《通知》）对外发布。</w:t>
      </w:r>
    </w:p>
    <w:p>
      <w:r>
        <w:t xml:space="preserve">《通知》决定，将上海自贸区“办税一网通”10项税收措施推广至广东、天津、福建自贸区，同时在广东、天津、福建、上海自贸区推出10项创新税收措施，统称“办税一网通10+10”。上海自贸区10项措施是指网上自动赋码、电子发票网上应用、网上自主办税、网上区域通办、网上直接认定、非居民税收网上管理、网上按季申报、网上审批备案、纳税信用网上评价和创新网上服务；10项新措施指国地办税一窗化、自助业务一厅化、培训辅导点单化、缴税方式多元化、出口退税无纸化、业务预约自主化、税银征信互动化、税收遵从合作化、预先约定明确化、风险提示国别化等。</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国税总局发布营业税减免税明细申报表"/>
      <w:bookmarkEnd w:id="40"/>
      <w:r>
        <w:t xml:space="preserve">国税总局发布营业税减免税明细申报表</w:t>
      </w:r>
    </w:p>
    <w:p>
      <w:r>
        <w:t xml:space="preserve">近日，《国家税务总局关于发布〈营业税减免税明细申报表〉的公告》（下称《公告》）发布，自2015年7月1日起施行。</w:t>
      </w:r>
    </w:p>
    <w:p>
      <w:r>
        <w:t xml:space="preserve">根据《公告》，《营业税减免税明细申报表》作为《营业税纳税申报表》的附列资料，由享受营业税减免税优惠政策的纳税人填写并在纳税申报时报送给主管税务机关。《营业税减免税明细申报表》共设7列，分别为税目、减免性质代码、减免事项名称、减免税收入、税率、减免税额、备注，纳税人按填表说明要求填列。其中，第6栏“减免税额”=“减免税收入”（4栏）×“税率”（5栏），但不适用于下列情况：减免税事项为享受降低税率的方式；减免税事项为按符合条件的人数乘以每人可享受的减免税限额计算。</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铁矿石资源税适用税额标准调整"/>
      <w:bookmarkEnd w:id="43"/>
      <w:r>
        <w:t xml:space="preserve">铁矿石资源税适用税额标准调整</w:t>
      </w:r>
    </w:p>
    <w:p>
      <w:r>
        <w:t xml:space="preserve">日前，财政部、国税总局联合发布《关于调整铁矿石资源税适用税额标准的通知》（下称《通知》），自2015年5月1日起实施。</w:t>
      </w:r>
    </w:p>
    <w:p>
      <w:r>
        <w:t xml:space="preserve">《通知》称，经国务院批准，将铁矿石资源税由减按规定税额标准的80%征收调整为减按规定税额标准的40%征收。有关省（区、市）财政、税务部门抓紧做好政策组织实施工作，确保政策及时落实到位。</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月1日起实施稀土钨钼资源税从价计征等新政"/>
      <w:bookmarkEnd w:id="46"/>
      <w:r>
        <w:t xml:space="preserve">5月1日起实施稀土、钨、钼资源税从价计征等新政</w:t>
      </w:r>
    </w:p>
    <w:p>
      <w:r>
        <w:t xml:space="preserve">近日，财政部、国税总局发布《关于实施稀土、钨、钼资源税从价计征改革的通知》；财政部、国家发改委发布《关于清理涉及稀土、钨、钼收费基金有关问题的通知》。</w:t>
      </w:r>
    </w:p>
    <w:p>
      <w:r>
        <w:t xml:space="preserve">两部通知规定，自2015年5月1日起实施稀土、钨、钼资源税清费立税、从价计征改革，稀土、钨、钼资源税由从量定额计征改为从价定率计征。同时，对适用税率、纳税环节和地点等具体征管事项作出明确要求。此外，自2015年5月1日起，在全国范围统一将稀土、钨、钼矿产资源补偿费费率降为零，停止征收稀土、钨、钼价格调节基金。各省要全面清理规范本地区出台的涉及稀土、钨、钼的收费基金项目，凡违反行政事业性收费和政府性基金审批管理规定，越权出台的收费基金项目要一律取消等。</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税总局出口企业申报出口退免税免予提供纸质出口货物报关单"/>
      <w:bookmarkEnd w:id="49"/>
      <w:r>
        <w:t xml:space="preserve">国税总局：出口企业申报出口退（免）税免予提供纸质出口货物报关单</w:t>
      </w:r>
    </w:p>
    <w:p>
      <w:r>
        <w:t xml:space="preserve">近日，《国家税务总局关于出口企业申报出口退（免）税免予提供纸质出口货物报关单的公告》（下称《公告》）发布。</w:t>
      </w:r>
    </w:p>
    <w:p>
      <w:r>
        <w:t xml:space="preserve">《公告》称，2015年5月1日（含，以海关出口报关单电子信息注明的出口日期为准）以后出口的货物，出口企业申报出口退（免）税及相关业务时，免予提供纸质报关单。但申报适用启运港退税政策的货物除外。出口企业申报办理上述货物出口退（免）税及相关业务时，原规定根据纸质报关单项目填写的申报内容，改按海关出口报关单电子信息对应项目填写，其申报的内容，视同申报海关出口报关单对应电子信息。</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行业"/>
      <w:bookmarkEnd w:id="52"/>
      <w:r>
        <w:t xml:space="preserve">行业</w:t>
      </w:r>
    </w:p>
    <w:p>
      <w:pPr>
        <w:pStyle w:val="Heading3"/>
      </w:pPr>
      <w:bookmarkStart w:id="53" w:name="工信部公示热处理行业规范条件和高强度紧固件行业规范条件"/>
      <w:bookmarkEnd w:id="53"/>
      <w:r>
        <w:t xml:space="preserve">工信部公示《热处理行业规范条件》和《高强度紧固件行业规范条件》</w:t>
      </w:r>
    </w:p>
    <w:p>
      <w:r>
        <w:t xml:space="preserve">近日，工业和信息化部公示《热处理行业规范条件》和《高强度紧固件行业规范条件》，公示日期为2015年5月6日至2015年5月15日。</w:t>
      </w:r>
    </w:p>
    <w:p>
      <w:r>
        <w:t xml:space="preserve">根据公示，新建或改扩建的热处理加工企业生产能力应具有大于（含）1000万元/年产值的生产能力。热处理的生产场所禁止设立在居民区、商业区、旅游区、蔬菜、粮食等农作物种植区与水源保护区。新（扩）建紧固件企业应通过“建设项目环境影响评价审批”及“职业健康安全预评估”，并通过项目环境保护和职业健康安全防护设施“三同时”验收。企业应根据生产紧固件产品的品种、性能等级、材质、规格等，选择低污染、低能耗工艺。不得采用落后工艺，如使用煤炭加热炉、盐浴炉等有污染、高耗能设备等。</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家能源局发文促煤炭清洁高效利用"/>
      <w:bookmarkEnd w:id="56"/>
      <w:r>
        <w:t xml:space="preserve">国家能源局发文促煤炭清洁高效利用</w:t>
      </w:r>
    </w:p>
    <w:p>
      <w:r>
        <w:t xml:space="preserve">近日，国家能源局印发《煤炭清洁高效利用行动计划（2015-2020年）》（下称《计划》），旨在促进煤炭清洁高效利用。</w:t>
      </w:r>
    </w:p>
    <w:p>
      <w:r>
        <w:t xml:space="preserve">《计划》提出煤炭清洁高效利用主要目标为，到2017年，原煤入选率达到70%以上。到2020年，原煤入选率达到80%以上；现役燃煤发电机组改造后平均供电煤耗低于310克/千瓦时，电煤占煤炭消费比重提高到60%以上；现代煤化工产业化示范取得阶段性成果，形成更加完整的自主技术和装备体系。同时，《计划》明确了改造提升传统煤化工产业等七项任务。新建现代煤化工示范项目的主要技术指标应明显优于首批示范项目的水平，大气污染物和污水排放要符合最严格的环保要求，废渣全部无害化处理或资源化利用，推广应用废水制水煤浆、空气冷却等节水型技术等。</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关于加快推进生态文明建设的意见印发"/>
      <w:bookmarkEnd w:id="59"/>
      <w:r>
        <w:t xml:space="preserve">关于加快推进生态文明建设的意见印发</w:t>
      </w:r>
    </w:p>
    <w:p>
      <w:r>
        <w:t xml:space="preserve">5月5日，《中共中央 国务院关于加快推进生态文明建设的意见》（下称《意见》）印发。</w:t>
      </w:r>
    </w:p>
    <w:p>
      <w:r>
        <w:t xml:space="preserve">《意见》明确了生态文明建设的总体要求、目标愿景、重点任务和制度体系。在总体要求方面，《意见》提出，到2020年单位国内生产总值二氧化碳排放强度比2005年下降40%－45%，能源消耗强度持续下降，资源产出率大幅提高，用水总量力争控制在6700亿立方米以内，万元工业增加值用水量降低到65立方米以下，非化石能源占一次能源消费比重达15％。在制度体系方面，《意见》提出，对水流、森林、山岭、草原进行统一确权登记；设定并严守资源消耗上限、环境质量底线、生态保护红线；完善污染物排放许可证制度，禁止无证排污和超标准、超总量排污。</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七部门印发推进药品价格改革意见"/>
      <w:bookmarkEnd w:id="62"/>
      <w:r>
        <w:t xml:space="preserve">七部门印发推进药品价格改革意见</w:t>
      </w:r>
    </w:p>
    <w:p>
      <w:r>
        <w:t xml:space="preserve">近日，国家发改委等七部门发布《关于印发推进药品价格改革意见的通知》（下称《通知》）。</w:t>
      </w:r>
    </w:p>
    <w:p>
      <w:r>
        <w:t xml:space="preserve">《通知》明确，自2015年6月1日起，除麻醉药品和第一类精神药品外，取消原政府制定的药品价格。其中，（一）医保基金支付的药品，由医保部门会同有关部门拟定医保药品支付标准制定的程序、依据、方法等规则；（二）专利药品、独家生产药品，建立公开透明、多方参与的谈判机制形成价格；（三）医保目录外的血液制品、国家统一采购的预防免疫药品、国家免费艾滋病抗病毒治疗药品和避孕药具，通过招标采购或谈判形成价格。其他原来实行市场调节价的药品，继续由生产经营者依据生产经营成本和市场供求情况，自主制定价格。</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财政部冶金矿山企业自主确定提取维简费及标准"/>
      <w:bookmarkEnd w:id="65"/>
      <w:r>
        <w:t xml:space="preserve">财政部：冶金矿山企业自主确定提取维简费及标准</w:t>
      </w:r>
    </w:p>
    <w:p>
      <w:r>
        <w:t xml:space="preserve">日前，财政部下发《关于不再规定冶金矿山维持简单再生产费用标准的通知》，自印发之日起施行。</w:t>
      </w:r>
    </w:p>
    <w:p>
      <w:r>
        <w:t xml:space="preserve">《通知》提出，财政部不再规定冶金矿山企业维持简单再生产费用标准，冶金矿山企业可根据生产经营情况自主确定是否提取维简费及提取的标准。此前，《财政部关于提高冶金矿山维持简单再生产费用标准的通知》规定，从2004年1月1日起，将冶金矿山维简费标准提高到每吨原矿提取15-18元。国有大中型冶金矿山企业维简费标准为18元/吨，其他冶金矿山企业可在15-18元/吨的范围内自行确定提取标准。《通知》同时明确，《财政部关于提高冶金矿山维持简单再生产费用标准的通知》废止。</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收费公路领域推广运用政府和社会资本合作模式"/>
      <w:bookmarkEnd w:id="68"/>
      <w:r>
        <w:t xml:space="preserve">收费公路领域推广运用政府和社会资本合作模式</w:t>
      </w:r>
    </w:p>
    <w:p>
      <w:r>
        <w:t xml:space="preserve">近日，财政部、交通运输部联合发布《关于在收费公路领域推广运用政府和社会资本合作模式的实施意见》（下称《意见》），鼓励社会资本通过政府和社会资本合作（PPP）模式，参与收费公路投资、建设、运营和维护。</w:t>
      </w:r>
    </w:p>
    <w:p>
      <w:r>
        <w:t xml:space="preserve">《意见》指出，社会投资者按照市场化原则出资，独自或与政府指定机构共同成立项目公司建设和运营收费公路项目，政府要逐步从“补建设”向“补运营”转变，以项目运营绩效评价结果为依据，适时对价格和补贴进行调整。《意见》要求明晰PPP项目边界，收费公路项目实施PPP模式所涉及的收费公路权益包括收费权、广告经营权和服务设施经营权。此外，要规范PPP项目操作流程，编制完整的PPP项目实施方案。</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中医药健康服务发展规划20152020年印发"/>
      <w:bookmarkEnd w:id="71"/>
      <w:r>
        <w:t xml:space="preserve">《中医药健康服务发展规划（2015—2020年）》印发</w:t>
      </w:r>
    </w:p>
    <w:p>
      <w:r>
        <w:t xml:space="preserve">近日，国办印发《中医药健康服务发展规划（2015—2020年）》（下称《规划》）。</w:t>
      </w:r>
    </w:p>
    <w:p>
      <w:r>
        <w:t xml:space="preserve">《规划》提出了大力发展中医养生保健服务、加快发展中医医疗服务、支持发展中医特色康复服务等七大重点任务。其中，支持社会力量举办规范的中医养生保健机构，培育一批技术成熟、信誉良好的知名中医养生保健服务集团或连锁机构。鼓励保险公司开发中医药养生保健、治未病保险以及各类医疗保险、疾病保险等商业健康保险产品。《规划》强调，凡是法律法规没有明令禁入的中医药健康服务领域，都要向社会资本开放，并不断扩大开放领域；凡是对本地资本开放的中医药健康服务领域，都要向外地资本开放。《规划》鼓励社会资本投资和运营中医药健康服务项目，新增项目优先考虑社会资本。</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石油炼制工业污染物排放标准等六项国家污染物排放标准发布"/>
      <w:bookmarkEnd w:id="74"/>
      <w:r>
        <w:t xml:space="preserve">《石油炼制工业污染物排放标准》等六项国家污染物排放标准发布</w:t>
      </w:r>
    </w:p>
    <w:p>
      <w:r>
        <w:t xml:space="preserve">近日，环保部、质检总局联合发布《石油炼制工业污染物排放标准》（下称《标准》）等六项国家污染物排放标准，自2015年7月1日起实施，旨在保护生态环境。</w:t>
      </w:r>
    </w:p>
    <w:p>
      <w:r>
        <w:t xml:space="preserve">《标准》规定了石油炼制工业企业及其生产设施水污染物和大气污染物排放限值、监测和监管要求。《标准》适用于现有石油炼制工业企业或生产设施的水污染物和大气污染物排放管理以及石油炼制工业建设项目的相关排放管理。在污染物监测方面，企业应建立监测制度，制定监测方案，开展自行检测，保留原始监测记录并予以公布。企业应按要求设计、建设、维护永久性采样口、采样测试平台和排污口标志。企业原（料）油加工量的核定，以法定报表为依据。</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两部门发文治理煤矿超能力生产"/>
      <w:bookmarkEnd w:id="77"/>
      <w:r>
        <w:t xml:space="preserve">两部门发文治理煤矿超能力生产</w:t>
      </w:r>
    </w:p>
    <w:p>
      <w:r>
        <w:t xml:space="preserve">日前，《国家能源局、国家煤矿安全监察局关于严格治理煤矿超能力生产的通知》（下称《通知》）下发，决定自即日起到2015年底，开展治理煤矿超能力生产专项活动。</w:t>
      </w:r>
    </w:p>
    <w:p>
      <w:r>
        <w:t xml:space="preserve">《通知》规定，生产煤矿须按公告生产能力组织生产，合理安排年度、季度、月度生产计划。煤矿全年产量不得超过公告的生产能力，月度产量不得超过月度计划的110%；无月度计划的，月度产量不得超过公告生产能力的1/12。企业集团公司不得向所属煤矿下达超过公告生产能力的生产计划及相关经济指标。对煤矿当月产量超过当月允许产量上限的（月度产量计划的110%或公告生产能力的1/12），应按《国务院关于预防煤矿生产安全事故的特别规定》处理。同时，《通知》要求发挥行业协会等对企业的约束作用。</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2"/>
      </w:pPr>
      <w:bookmarkStart w:id="80" w:name="并购"/>
      <w:bookmarkEnd w:id="80"/>
      <w:r>
        <w:t xml:space="preserve">并购</w:t>
      </w:r>
    </w:p>
    <w:p>
      <w:pPr>
        <w:pStyle w:val="Heading3"/>
      </w:pPr>
      <w:bookmarkStart w:id="81" w:name="中清龙图近百亿借壳友利控股"/>
      <w:bookmarkEnd w:id="81"/>
      <w:r>
        <w:t xml:space="preserve">中清龙图近百亿借壳友利控股</w:t>
      </w:r>
    </w:p>
    <w:p>
      <w:r>
        <w:t xml:space="preserve">友利控股5月7日公布重大资产重组预案，公司拟置出扣除货币资金外的所有资产和负债；置入北京中清龙图网络技术有限公司全部股权，置入资产作价96亿元。重组完成后，公司主营业务将从氨纶的生产销售和房地产业务，转变为网页游戏、移动游戏的研发及运营。公司实际控制人将变更为中清龙图股东杨圣辉。</w:t>
      </w:r>
    </w:p>
    <w:p>
      <w:r>
        <w:t xml:space="preserve">根据公告，友利控股拟以扣除7639.48万元货币资金外的所有资产和负债作为拟置出资产。置出资产暂作价19.86亿元，置入资产暂作价96亿元。置出资产中暂定价格为8.998亿元的部分与杨圣辉所持有中清龙图股权的等值部分进行置换。</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华丽家族涉足石墨烯及机器人业务"/>
      <w:bookmarkEnd w:id="84"/>
      <w:r>
        <w:t xml:space="preserve">华丽家族涉足石墨烯及机器人业务</w:t>
      </w:r>
    </w:p>
    <w:p>
      <w:r>
        <w:t xml:space="preserve">华丽家族5月6日公布定增方案。公司拟定增募集资金不超过26.65亿元，用于收购北京墨烯控股集团股份有限公司100%的股份并对其进行增资，以及投资智能机器人项目和临近空间飞行器项目。</w:t>
      </w:r>
    </w:p>
    <w:p>
      <w:r>
        <w:t xml:space="preserve">公告显示，华丽家族此次募集资金投向分为三个部分，其中石墨烯项目拟以7.5亿元收购墨烯控股，并对其增资4亿元；智能机器人项目则分为机器人研发和机器人生产基地两个具体项目，前者拟投入3.3亿元，后者拟投入3.7亿元；临近空间飞行器项目也分为两个部分，临近空间飞行器试验场项目拟投入资金3.8亿元，临近空间飞行器研制与制造项目拟投入资金4.36亿元。</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东方国信1.7亿并购境外公司"/>
      <w:bookmarkEnd w:id="87"/>
      <w:r>
        <w:t xml:space="preserve">东方国信1.7亿并购境外公司</w:t>
      </w:r>
    </w:p>
    <w:p>
      <w:r>
        <w:t xml:space="preserve">东方国信5月3日晚间公告，公司日前与Cotopaxi Limited股东签订了《针对Cotopaxi Limited的股权收购协议》，公司以自筹资金1810万英镑（约合人民币17014万元）受让Cotopaxi公司100%股权。</w:t>
      </w:r>
    </w:p>
    <w:p>
      <w:r>
        <w:t xml:space="preserve">资料显示，Cotopaxi Limited为境外企业，成立于2009年，是一家基于物联网、云计算、大数据等核心技术能力为全球工业及商业企业提供能源与过程优化软件平台及咨询服务的公司。主要提供工业能源数据分析与管理平台、过程优化平台及与咨询服务解决方案，涉及工业互联网、工业智能领域。</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长亮科技逾1亿收购合度云天"/>
      <w:bookmarkEnd w:id="90"/>
      <w:r>
        <w:t xml:space="preserve">长亮科技逾1亿收购合度云天</w:t>
      </w:r>
    </w:p>
    <w:p>
      <w:r>
        <w:t xml:space="preserve">长亮科技5月3日晚间披露重组预案，公司计划斥资1.16亿元，收购合度云天信息科技有限责任公司（简称“合度云天”）100%股权。</w:t>
      </w:r>
    </w:p>
    <w:p>
      <w:r>
        <w:t xml:space="preserve">资料显示，合度云天主要为金融机构提供信息化建设专业咨询及系统解决方案。截至2013年末和2014年末，合度云天的资产总额分别为1431.24万元和3167.3万元。</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2"/>
      </w:pPr>
      <w:bookmarkStart w:id="93" w:name="知识产权"/>
      <w:bookmarkEnd w:id="93"/>
      <w:r>
        <w:t xml:space="preserve">知识产权</w:t>
      </w:r>
    </w:p>
    <w:p>
      <w:pPr>
        <w:pStyle w:val="Heading3"/>
      </w:pPr>
      <w:bookmarkStart w:id="94" w:name="国知局发布专利代理管理办法"/>
      <w:bookmarkEnd w:id="94"/>
      <w:r>
        <w:t xml:space="preserve">国知局发布《专利代理管理办法》</w:t>
      </w:r>
    </w:p>
    <w:p>
      <w:r>
        <w:t xml:space="preserve">日前，国家知识产权局下发《专利代理管理办法》（下称《办法》），旨在完善专利代理制度。《办法》自2015年5月1日起施行。</w:t>
      </w:r>
    </w:p>
    <w:p>
      <w:r>
        <w:t xml:space="preserve">《办法》对专利代理机构及其办事机构的设立、变更、停业和撤销，专利代理人的执业，专利代理监管等作出规定。其中，《办法》明确，设立专利代理机构应符合下列条件：具有符合本办法第七条规定的机构名称；具有合伙协议书或章程；具有符合本办法第五条、第六条规定的合伙人或股东；具有固定办公场所和必要工作设施。律师事务所申请开办专利代理业务的，在该律师事务所执业的专职律师中应有3名以上具有专利代理人资格。此外，专利代理机构有取得注册证或提交年度报告时提供虚假信息等情形的，将其列入经营异常名录并公示。</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Heading2"/>
      </w:pPr>
      <w:bookmarkStart w:id="97" w:name="其他"/>
      <w:bookmarkEnd w:id="97"/>
      <w:r>
        <w:t xml:space="preserve">其他</w:t>
      </w:r>
    </w:p>
    <w:p>
      <w:pPr>
        <w:pStyle w:val="Heading3"/>
      </w:pPr>
      <w:bookmarkStart w:id="98" w:name="最高法发布办理执行异议和复议案件新规"/>
      <w:bookmarkEnd w:id="98"/>
      <w:r>
        <w:t xml:space="preserve">最高法发布办理执行异议和复议案件新规</w:t>
      </w:r>
    </w:p>
    <w:p>
      <w:r>
        <w:t xml:space="preserve">近日，最高法发布《关于人民法院办理执行异议和复议案件若干问题的规定》（下称《规定》），自2015年5月5日起施行。</w:t>
      </w:r>
    </w:p>
    <w:p>
      <w:r>
        <w:t xml:space="preserve">《规定》共三十二条，具体内容包括：执行异议原则上应当在三日内立案；执行异议的事由应当一次性提出；第三人代为偿债的无正当理由不得反悔；司法拍卖违法时可以撤销；赋予强制执行效力的担保债务应当执行；执行标的权属原则上根据登记和占有情况判断等重要内容。此外，《规定》第二十条对执行被执行人名下的唯一住房的情形，按照申请执行的债权种类是金钱债权还是交付房屋的不同作出了不同的规定。</w:t>
      </w:r>
    </w:p>
    <w:p>
      <w:hyperlink r:id="rId99">
        <w:r>
          <w:rPr>
            <w:rStyle w:val="Link"/>
          </w:rPr>
          <w:t xml:space="preserve">来源</w:t>
        </w:r>
      </w:hyperlink>
      <w:r>
        <w:t xml:space="preserve"> </w:t>
      </w:r>
      <w:r>
        <w:t xml:space="preserve">(</w:t>
      </w:r>
      <w:hyperlink r:id="rId100">
        <w:r>
          <w:rPr>
            <w:rStyle w:val="Link"/>
          </w:rPr>
          <w:t xml:space="preserve">副本</w:t>
        </w:r>
      </w:hyperlink>
      <w:r>
        <w:t xml:space="preserve">)</w:t>
      </w:r>
    </w:p>
    <w:p>
      <w:pPr>
        <w:pStyle w:val="Heading3"/>
      </w:pPr>
      <w:bookmarkStart w:id="101" w:name="国务院发文要求进一步做好新形势下就业创业工作"/>
      <w:bookmarkEnd w:id="101"/>
      <w:r>
        <w:t xml:space="preserve">国务院发文要求进一步做好新形势下就业创业工作</w:t>
      </w:r>
    </w:p>
    <w:p>
      <w:r>
        <w:t xml:space="preserve">近日，国务院发布《关于进一步做好新形势下就业创业工作的意见》（下称《意见》），提出了四个方面的政策措施。</w:t>
      </w:r>
    </w:p>
    <w:p>
      <w:r>
        <w:t xml:space="preserve">《意见》提出，年内出台推进“三证合一”登记制度改革意见和统一社会信用代码方案，实现“一照一码”。拓宽创业投融资渠道，加快设立国家中小企业发展基金和国家新兴产业创业投资引导基金。将小额担保贷款调整为创业担保贷款，最高额度统一调整为10万元，个人贷款在贷款基础利率基础上上浮3个百分点以内的部分由财政贴息。加大减税降费力度，将企业吸纳就业税收优惠的人员范围由失业一年以上调整为失业半年以上，推广职工教育经费税前扣除等试点政策。此外，小微企业新招用毕业年度高校毕业生可享受1年社保补贴。</w:t>
      </w:r>
    </w:p>
    <w:p>
      <w:hyperlink r:id="rId102">
        <w:r>
          <w:rPr>
            <w:rStyle w:val="Link"/>
          </w:rPr>
          <w:t xml:space="preserve">来源</w:t>
        </w:r>
      </w:hyperlink>
      <w:r>
        <w:t xml:space="preserve"> </w:t>
      </w:r>
      <w:r>
        <w:t xml:space="preserve">(</w:t>
      </w:r>
      <w:hyperlink r:id="rId103">
        <w:r>
          <w:rPr>
            <w:rStyle w:val="Link"/>
          </w:rPr>
          <w:t xml:space="preserve">副本</w:t>
        </w:r>
      </w:hyperlink>
      <w:r>
        <w:t xml:space="preserve">)</w:t>
      </w:r>
    </w:p>
    <w:p>
      <w:pPr>
        <w:pStyle w:val="Heading3"/>
      </w:pPr>
      <w:bookmarkStart w:id="104" w:name="最高法院调整高院中院一审民商事案件标准"/>
      <w:bookmarkEnd w:id="104"/>
      <w:r>
        <w:t xml:space="preserve">最高法院调整高院中院一审民商事案件标准</w:t>
      </w:r>
    </w:p>
    <w:p>
      <w:r>
        <w:t xml:space="preserve">最高法日前发布《关于调整高级人民法院和中级人民法院管辖第一审民商事案件标准的通知》（下称《通知》），自2015年5月1日起实施。</w:t>
      </w:r>
    </w:p>
    <w:p>
      <w:r>
        <w:t xml:space="preserve">《通知》明确，当事人住所地均在受理法院所处省级行政辖区的第一审民商事案件，北京、上海、江苏、浙江、广东高级人民法院管辖诉讼标的额5亿元以上的案件，所辖中级人民法院管辖标的额1亿元以上的案件；天津、河北、山西、内蒙古、辽宁、安徽、福建、山东、河南、湖北、湖南、广西、海南、四川、重庆高级人民法院管辖标的额3亿元以上的案件，所辖中级人民法院管辖标的额3000万元以上的案件等。此外，婚姻、继承、家庭、物业服务、人身损害赔偿、名誉权、交通事故、劳动争议等案件，以及群体性纠纷案件，一般由基层人民法院管辖。</w:t>
      </w:r>
    </w:p>
    <w:p>
      <w:hyperlink r:id="rId105">
        <w:r>
          <w:rPr>
            <w:rStyle w:val="Link"/>
          </w:rPr>
          <w:t xml:space="preserve">来源</w:t>
        </w:r>
      </w:hyperlink>
      <w:r>
        <w:t xml:space="preserve"> </w:t>
      </w:r>
      <w:r>
        <w:t xml:space="preserve">(</w:t>
      </w:r>
      <w:hyperlink r:id="rId106">
        <w:r>
          <w:rPr>
            <w:rStyle w:val="Link"/>
          </w:rPr>
          <w:t xml:space="preserve">副本</w:t>
        </w:r>
      </w:hyperlink>
      <w:r>
        <w:t xml:space="preserve">)</w:t>
      </w:r>
    </w:p>
    <w:p>
      <w:pPr>
        <w:pStyle w:val="Heading3"/>
      </w:pPr>
      <w:bookmarkStart w:id="107" w:name="环保部公布突发环境事件应急管理办法"/>
      <w:bookmarkEnd w:id="107"/>
      <w:r>
        <w:t xml:space="preserve">环保部公布突发环境事件应急管理办法</w:t>
      </w:r>
    </w:p>
    <w:p>
      <w:r>
        <w:t xml:space="preserve">近日，环保部对外公布《突发环境事件应急管理办法》（下称《办法》），自2015年6月5日起施行。</w:t>
      </w:r>
    </w:p>
    <w:p>
      <w:r>
        <w:t xml:space="preserve">《办法》规定，突发环境事件按程度分为特别重大、重大、较大和一般四级。发生或者可能发生突发环境事件时，企业事业单位应当对所造成的损害承担责任。较大、重大和特别重大突发环境事件发生后，企业未按要求执行停产、停排措施，继续违法违规排放污染物的，环保部门应对造成污染物排放的设施、设备实施查封、扣押。根据《办法》，企业未按规定开展突发环境事件风险评估工作，确定风险等级；或未将突发环境事件应急预案备案；或未公开突发环境事件相关信息的，由县级以上环境保护主管部门责令改正，可以处一万元以上三万元以下罚款。</w:t>
      </w:r>
    </w:p>
    <w:p>
      <w:hyperlink r:id="rId108">
        <w:r>
          <w:rPr>
            <w:rStyle w:val="Link"/>
          </w:rPr>
          <w:t xml:space="preserve">来源</w:t>
        </w:r>
      </w:hyperlink>
      <w:r>
        <w:t xml:space="preserve"> </w:t>
      </w:r>
      <w:r>
        <w:t xml:space="preserve">(</w:t>
      </w:r>
      <w:hyperlink r:id="rId10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10">
        <w:r>
          <w:rPr>
            <w:rStyle w:val="Link"/>
          </w:rPr>
          <w:t xml:space="preserve">unsubscribe@charltonslaw.com</w:t>
        </w:r>
      </w:hyperlink>
    </w:p>
    <w:p>
      <w:r>
        <w:rPr>
          <w:b/>
        </w:rPr>
        <w:t xml:space="preserve">易周律师行 - 法讯 - 中国 - 第454期 - 2015年05月08日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48bfa8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0" Target="15.pdf" TargetMode="External" /><Relationship Type="http://schemas.openxmlformats.org/officeDocument/2006/relationships/hyperlink" Id="rId73" Target="16.pdf" TargetMode="External" /><Relationship Type="http://schemas.openxmlformats.org/officeDocument/2006/relationships/hyperlink" Id="rId76" Target="17.pdf" TargetMode="External" /><Relationship Type="http://schemas.openxmlformats.org/officeDocument/2006/relationships/hyperlink" Id="rId79"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86" Target="20.pdf" TargetMode="External" /><Relationship Type="http://schemas.openxmlformats.org/officeDocument/2006/relationships/hyperlink" Id="rId89" Target="21.pdf" TargetMode="External" /><Relationship Type="http://schemas.openxmlformats.org/officeDocument/2006/relationships/hyperlink" Id="rId92" Target="22.pdf" TargetMode="External" /><Relationship Type="http://schemas.openxmlformats.org/officeDocument/2006/relationships/hyperlink" Id="rId96" Target="23.pdf" TargetMode="External" /><Relationship Type="http://schemas.openxmlformats.org/officeDocument/2006/relationships/hyperlink" Id="rId100" Target="24.pdf" TargetMode="External" /><Relationship Type="http://schemas.openxmlformats.org/officeDocument/2006/relationships/hyperlink" Id="rId103" Target="25.pdf" TargetMode="External" /><Relationship Type="http://schemas.openxmlformats.org/officeDocument/2006/relationships/hyperlink" Id="rId106" Target="26.pdf" TargetMode="External" /><Relationship Type="http://schemas.openxmlformats.org/officeDocument/2006/relationships/hyperlink" Id="rId109" Target="27.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88" Target="http://epaper.stcn.com/paper/zqsb/html/2015-05/04/content_684775.htm" TargetMode="External" /><Relationship Type="http://schemas.openxmlformats.org/officeDocument/2006/relationships/hyperlink" Id="rId91" Target="http://epaper.stcn.com/paper/zqsb/html/2015-05/04/content_684776.htm" TargetMode="External" /><Relationship Type="http://schemas.openxmlformats.org/officeDocument/2006/relationships/hyperlink" Id="rId85" Target="http://epaper.stcn.com/paper/zqsb/html/2015-05/06/content_685336.htm" TargetMode="External" /><Relationship Type="http://schemas.openxmlformats.org/officeDocument/2006/relationships/hyperlink" Id="rId31" Target="http://epaper.stcn.com/paper/zqsb/html/2015-05/08/content_687237.htm" TargetMode="External" /><Relationship Type="http://schemas.openxmlformats.org/officeDocument/2006/relationships/hyperlink" Id="rId82" Target="http://epaper.stcn.com/paper/zqsb/html/epaper/index/content_686636.htm" TargetMode="External" /><Relationship Type="http://schemas.openxmlformats.org/officeDocument/2006/relationships/hyperlink" Id="rId25" Target="http://gks.mof.gov.cn/zhengfuxinxi/guizhangzhidu/201505/t20150505_1227271.html" TargetMode="External" /><Relationship Type="http://schemas.openxmlformats.org/officeDocument/2006/relationships/hyperlink" Id="rId69" Target="http://money.163.com/15/0507/09/AP0K3PG000253B0H.html" TargetMode="External" /><Relationship Type="http://schemas.openxmlformats.org/officeDocument/2006/relationships/hyperlink" Id="rId38" Target="http://portal.gd-n-tax.gov.cn/pub/gdgsww/xxgk/zfxxgk/zfxxgkml/ssfg/201505/t20150501_661468.html" TargetMode="External" /><Relationship Type="http://schemas.openxmlformats.org/officeDocument/2006/relationships/hyperlink" Id="rId66" Target="http://qys.mof.gov.cn/zhengwuxinxi/zhengcefabu/201505/t20150505_1226878.html" TargetMode="External" /><Relationship Type="http://schemas.openxmlformats.org/officeDocument/2006/relationships/hyperlink" Id="rId44" Target="http://szs.mof.gov.cn/zhengwuxinxi/zhengcefabu/201504/t20150430_1225709.html" TargetMode="External" /><Relationship Type="http://schemas.openxmlformats.org/officeDocument/2006/relationships/hyperlink" Id="rId47" Target="http://szs.mof.gov.cn/zhengwuxinxi/zhengcefabu/201504/t20150430_1225869.html" TargetMode="External" /><Relationship Type="http://schemas.openxmlformats.org/officeDocument/2006/relationships/hyperlink" Id="rId21" Target="http://www.charltonslaw.com.cn/china-news-alerts-cn-issue-454/" TargetMode="External" /><Relationship Type="http://schemas.openxmlformats.org/officeDocument/2006/relationships/hyperlink" Id="rId50" Target="http://www.chinatax.gov.cn/n810341/n810755/c1590789/content.html" TargetMode="External" /><Relationship Type="http://schemas.openxmlformats.org/officeDocument/2006/relationships/hyperlink" Id="rId41" Target="http://www.chinatax.gov.cn/n810341/n810755/c1595766/content.html" TargetMode="External" /><Relationship Type="http://schemas.openxmlformats.org/officeDocument/2006/relationships/hyperlink" Id="rId35" Target="http://www.chinatax.gov.cn/n810341/n810755/c1597941/content.html" TargetMode="External" /><Relationship Type="http://schemas.openxmlformats.org/officeDocument/2006/relationships/hyperlink" Id="rId105" Target="http://www.court.gov.cn/fabu-xiangqing-14366.html" TargetMode="External" /><Relationship Type="http://schemas.openxmlformats.org/officeDocument/2006/relationships/hyperlink" Id="rId99" Target="http://www.court.gov.cn/fabu-xiangqing-14406.html" TargetMode="External" /><Relationship Type="http://schemas.openxmlformats.org/officeDocument/2006/relationships/hyperlink" Id="rId60" Target="http://www.gov.cn/xinwen/2015-05/05/content_2857363.htm" TargetMode="External" /><Relationship Type="http://schemas.openxmlformats.org/officeDocument/2006/relationships/hyperlink" Id="rId102" Target="http://www.gov.cn/zhengce/content/2015-05/01/content_9688.htm" TargetMode="External" /><Relationship Type="http://schemas.openxmlformats.org/officeDocument/2006/relationships/hyperlink" Id="rId72" Target="http://www.gov.cn/zhengce/content/2015-05/07/content_9704.htm" TargetMode="External" /><Relationship Type="http://schemas.openxmlformats.org/officeDocument/2006/relationships/hyperlink" Id="rId54" Target="http://www.nbd.com.cn/articles/2015-05-06/913827.html" TargetMode="External" /><Relationship Type="http://schemas.openxmlformats.org/officeDocument/2006/relationships/hyperlink" Id="rId63" Target="http://www.sdpc.gov.cn/zcfb/zcfbtz/201505/t20150505_690664.html" TargetMode="External" /><Relationship Type="http://schemas.openxmlformats.org/officeDocument/2006/relationships/hyperlink" Id="rId95" Target="http://www.sipo.gov.cn/zwgg/jl/201504/t20150430_1111398.html" TargetMode="External" /><Relationship Type="http://schemas.openxmlformats.org/officeDocument/2006/relationships/hyperlink" Id="rId28" Target="http://www.szse.cn/main/disclosure/bsgg_front/39754787.shtml" TargetMode="External" /><Relationship Type="http://schemas.openxmlformats.org/officeDocument/2006/relationships/hyperlink" Id="rId75" Target="http://www.zhb.gov.cn/gkml/hbb/bgg/201505/t20150504_300130.htm" TargetMode="External" /><Relationship Type="http://schemas.openxmlformats.org/officeDocument/2006/relationships/hyperlink" Id="rId108" Target="http://www.zhb.gov.cn/gkml/hbb/bl/201504/t20150429_299852.htm" TargetMode="External" /><Relationship Type="http://schemas.openxmlformats.org/officeDocument/2006/relationships/hyperlink" Id="rId57" Target="http://zfxxgk.nea.gov.cn/auto85/201505/t20150505_1917.htm" TargetMode="External" /><Relationship Type="http://schemas.openxmlformats.org/officeDocument/2006/relationships/hyperlink" Id="rId78" Target="http://zfxxgk.nea.gov.cn/auto85/201505/t20150507_1919.htm" TargetMode="External" /><Relationship Type="http://schemas.openxmlformats.org/officeDocument/2006/relationships/hyperlink" Id="rId11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0" Target="15.pdf" TargetMode="External" /><Relationship Type="http://schemas.openxmlformats.org/officeDocument/2006/relationships/hyperlink" Id="rId73" Target="16.pdf" TargetMode="External" /><Relationship Type="http://schemas.openxmlformats.org/officeDocument/2006/relationships/hyperlink" Id="rId76" Target="17.pdf" TargetMode="External" /><Relationship Type="http://schemas.openxmlformats.org/officeDocument/2006/relationships/hyperlink" Id="rId79"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86" Target="20.pdf" TargetMode="External" /><Relationship Type="http://schemas.openxmlformats.org/officeDocument/2006/relationships/hyperlink" Id="rId89" Target="21.pdf" TargetMode="External" /><Relationship Type="http://schemas.openxmlformats.org/officeDocument/2006/relationships/hyperlink" Id="rId92" Target="22.pdf" TargetMode="External" /><Relationship Type="http://schemas.openxmlformats.org/officeDocument/2006/relationships/hyperlink" Id="rId96" Target="23.pdf" TargetMode="External" /><Relationship Type="http://schemas.openxmlformats.org/officeDocument/2006/relationships/hyperlink" Id="rId100" Target="24.pdf" TargetMode="External" /><Relationship Type="http://schemas.openxmlformats.org/officeDocument/2006/relationships/hyperlink" Id="rId103" Target="25.pdf" TargetMode="External" /><Relationship Type="http://schemas.openxmlformats.org/officeDocument/2006/relationships/hyperlink" Id="rId106" Target="26.pdf" TargetMode="External" /><Relationship Type="http://schemas.openxmlformats.org/officeDocument/2006/relationships/hyperlink" Id="rId109" Target="27.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88" Target="http://epaper.stcn.com/paper/zqsb/html/2015-05/04/content_684775.htm" TargetMode="External" /><Relationship Type="http://schemas.openxmlformats.org/officeDocument/2006/relationships/hyperlink" Id="rId91" Target="http://epaper.stcn.com/paper/zqsb/html/2015-05/04/content_684776.htm" TargetMode="External" /><Relationship Type="http://schemas.openxmlformats.org/officeDocument/2006/relationships/hyperlink" Id="rId85" Target="http://epaper.stcn.com/paper/zqsb/html/2015-05/06/content_685336.htm" TargetMode="External" /><Relationship Type="http://schemas.openxmlformats.org/officeDocument/2006/relationships/hyperlink" Id="rId31" Target="http://epaper.stcn.com/paper/zqsb/html/2015-05/08/content_687237.htm" TargetMode="External" /><Relationship Type="http://schemas.openxmlformats.org/officeDocument/2006/relationships/hyperlink" Id="rId82" Target="http://epaper.stcn.com/paper/zqsb/html/epaper/index/content_686636.htm" TargetMode="External" /><Relationship Type="http://schemas.openxmlformats.org/officeDocument/2006/relationships/hyperlink" Id="rId25" Target="http://gks.mof.gov.cn/zhengfuxinxi/guizhangzhidu/201505/t20150505_1227271.html" TargetMode="External" /><Relationship Type="http://schemas.openxmlformats.org/officeDocument/2006/relationships/hyperlink" Id="rId69" Target="http://money.163.com/15/0507/09/AP0K3PG000253B0H.html" TargetMode="External" /><Relationship Type="http://schemas.openxmlformats.org/officeDocument/2006/relationships/hyperlink" Id="rId38" Target="http://portal.gd-n-tax.gov.cn/pub/gdgsww/xxgk/zfxxgk/zfxxgkml/ssfg/201505/t20150501_661468.html" TargetMode="External" /><Relationship Type="http://schemas.openxmlformats.org/officeDocument/2006/relationships/hyperlink" Id="rId66" Target="http://qys.mof.gov.cn/zhengwuxinxi/zhengcefabu/201505/t20150505_1226878.html" TargetMode="External" /><Relationship Type="http://schemas.openxmlformats.org/officeDocument/2006/relationships/hyperlink" Id="rId44" Target="http://szs.mof.gov.cn/zhengwuxinxi/zhengcefabu/201504/t20150430_1225709.html" TargetMode="External" /><Relationship Type="http://schemas.openxmlformats.org/officeDocument/2006/relationships/hyperlink" Id="rId47" Target="http://szs.mof.gov.cn/zhengwuxinxi/zhengcefabu/201504/t20150430_1225869.html" TargetMode="External" /><Relationship Type="http://schemas.openxmlformats.org/officeDocument/2006/relationships/hyperlink" Id="rId21" Target="http://www.charltonslaw.com.cn/china-news-alerts-cn-issue-454/" TargetMode="External" /><Relationship Type="http://schemas.openxmlformats.org/officeDocument/2006/relationships/hyperlink" Id="rId50" Target="http://www.chinatax.gov.cn/n810341/n810755/c1590789/content.html" TargetMode="External" /><Relationship Type="http://schemas.openxmlformats.org/officeDocument/2006/relationships/hyperlink" Id="rId41" Target="http://www.chinatax.gov.cn/n810341/n810755/c1595766/content.html" TargetMode="External" /><Relationship Type="http://schemas.openxmlformats.org/officeDocument/2006/relationships/hyperlink" Id="rId35" Target="http://www.chinatax.gov.cn/n810341/n810755/c1597941/content.html" TargetMode="External" /><Relationship Type="http://schemas.openxmlformats.org/officeDocument/2006/relationships/hyperlink" Id="rId105" Target="http://www.court.gov.cn/fabu-xiangqing-14366.html" TargetMode="External" /><Relationship Type="http://schemas.openxmlformats.org/officeDocument/2006/relationships/hyperlink" Id="rId99" Target="http://www.court.gov.cn/fabu-xiangqing-14406.html" TargetMode="External" /><Relationship Type="http://schemas.openxmlformats.org/officeDocument/2006/relationships/hyperlink" Id="rId60" Target="http://www.gov.cn/xinwen/2015-05/05/content_2857363.htm" TargetMode="External" /><Relationship Type="http://schemas.openxmlformats.org/officeDocument/2006/relationships/hyperlink" Id="rId102" Target="http://www.gov.cn/zhengce/content/2015-05/01/content_9688.htm" TargetMode="External" /><Relationship Type="http://schemas.openxmlformats.org/officeDocument/2006/relationships/hyperlink" Id="rId72" Target="http://www.gov.cn/zhengce/content/2015-05/07/content_9704.htm" TargetMode="External" /><Relationship Type="http://schemas.openxmlformats.org/officeDocument/2006/relationships/hyperlink" Id="rId54" Target="http://www.nbd.com.cn/articles/2015-05-06/913827.html" TargetMode="External" /><Relationship Type="http://schemas.openxmlformats.org/officeDocument/2006/relationships/hyperlink" Id="rId63" Target="http://www.sdpc.gov.cn/zcfb/zcfbtz/201505/t20150505_690664.html" TargetMode="External" /><Relationship Type="http://schemas.openxmlformats.org/officeDocument/2006/relationships/hyperlink" Id="rId95" Target="http://www.sipo.gov.cn/zwgg/jl/201504/t20150430_1111398.html" TargetMode="External" /><Relationship Type="http://schemas.openxmlformats.org/officeDocument/2006/relationships/hyperlink" Id="rId28" Target="http://www.szse.cn/main/disclosure/bsgg_front/39754787.shtml" TargetMode="External" /><Relationship Type="http://schemas.openxmlformats.org/officeDocument/2006/relationships/hyperlink" Id="rId75" Target="http://www.zhb.gov.cn/gkml/hbb/bgg/201505/t20150504_300130.htm" TargetMode="External" /><Relationship Type="http://schemas.openxmlformats.org/officeDocument/2006/relationships/hyperlink" Id="rId108" Target="http://www.zhb.gov.cn/gkml/hbb/bl/201504/t20150429_299852.htm" TargetMode="External" /><Relationship Type="http://schemas.openxmlformats.org/officeDocument/2006/relationships/hyperlink" Id="rId57" Target="http://zfxxgk.nea.gov.cn/auto85/201505/t20150505_1917.htm" TargetMode="External" /><Relationship Type="http://schemas.openxmlformats.org/officeDocument/2006/relationships/hyperlink" Id="rId78" Target="http://zfxxgk.nea.gov.cn/auto85/201505/t20150507_1919.htm" TargetMode="External" /><Relationship Type="http://schemas.openxmlformats.org/officeDocument/2006/relationships/hyperlink" Id="rId11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第454期 - 2015年05月08日</dc:title>
  <dc:creator/>
</cp:coreProperties>
</file>