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第455期</w:t>
      </w:r>
      <w:r>
        <w:t xml:space="preserve"> </w:t>
      </w:r>
      <w:r>
        <w:t xml:space="preserve">-</w:t>
      </w:r>
      <w:r>
        <w:t xml:space="preserve"> </w:t>
      </w:r>
      <w:r>
        <w:t xml:space="preserve">2015年05月15日</w:t>
      </w:r>
    </w:p>
    <w:p>
      <w:hyperlink r:id="rId21">
        <w:r>
          <w:rPr>
            <w:rStyle w:val="Link"/>
          </w:rPr>
          <w:t xml:space="preserve">网络版</w:t>
        </w:r>
      </w:hyperlink>
    </w:p>
    <w:p>
      <w:pPr>
        <w:pStyle w:val="Heading1"/>
      </w:pPr>
      <w:bookmarkStart w:id="22" w:name="法讯中国第455期"/>
      <w:bookmarkEnd w:id="22"/>
      <w:r>
        <w:t xml:space="preserve">法讯中国第455期</w:t>
      </w:r>
    </w:p>
    <w:p>
      <w:pPr>
        <w:pStyle w:val="Heading2"/>
      </w:pPr>
      <w:bookmarkStart w:id="23" w:name="税收"/>
      <w:bookmarkEnd w:id="23"/>
      <w:r>
        <w:t xml:space="preserve">税收</w:t>
      </w:r>
    </w:p>
    <w:p>
      <w:pPr>
        <w:pStyle w:val="Heading3"/>
      </w:pPr>
      <w:bookmarkStart w:id="24" w:name="国税总局发文完善出口退税有关问题"/>
      <w:bookmarkEnd w:id="24"/>
      <w:r>
        <w:t xml:space="preserve">国税总局发文完善出口退税有关问题</w:t>
      </w:r>
    </w:p>
    <w:p>
      <w:r>
        <w:t xml:space="preserve">近日，国税总局发布《关于出口退（免）税有关问题的公告》（下称《公告》），除第四条自2014年1月1日起执行外，其他自发布之日施行。</w:t>
      </w:r>
    </w:p>
    <w:p>
      <w:r>
        <w:t xml:space="preserve">《公告》规定：1、简化出口企业报送资料，便利企业办理出口退（免）税。2、委托出口货物属国家取消出口退税货物的仍实行《委托出口货物证明》管理，其他委托出口货物开具《代理出口货物证明》时不再提供《委托出口货物证明》。《公告》明确：1、以铁路运输方式提供增值税零税率应税服务的企业，在申报免抵退税时需填报的报表。2、出口企业从事来料加工委托加工业务的，申请办理海关已核销的来料加工出口货物免税核销手续期限。3、以双委托方式从事进料加工业务的企业，办理进料加工登记时需提供的资料等。</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三部门发文落实商业健康险个税新政"/>
      <w:bookmarkEnd w:id="27"/>
      <w:r>
        <w:t xml:space="preserve">三部门发文落实商业健康险个税新政</w:t>
      </w:r>
    </w:p>
    <w:p>
      <w:r>
        <w:t xml:space="preserve">近日，财政部等三部门联合发布《关于开展商业健康保险个人所得税政策试点工作的通知》（下称《通知》）。</w:t>
      </w:r>
    </w:p>
    <w:p>
      <w:r>
        <w:t xml:space="preserve">《通知》规定，商业健康保险税收优惠政策在北京、上海、天津、重庆试点，同时各省、自治区选择一个人口规模较大且具综合管理能力的城市试点。《通知》明确，对试点地区个人购买符合规定的商业健康保险产品的支出，允许在当年（月）计算应纳税所得额时予以税前扣除，扣除限额为2400元/年（200元/月）。试点地区企事业单位统一组织并为员工购买符合规定的商业健康保险产品的支出，应分别计入员工个人工资薪金，视同个人购买，按上述限额扣除。2400元/年（200元/月）的限额扣除为个税法规定减除费用标准之外的扣除。</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国务院发文明确已出台税收优惠按规定期限执行"/>
      <w:bookmarkEnd w:id="30"/>
      <w:r>
        <w:t xml:space="preserve">国务院发文明确已出台税收优惠按规定期限执行</w:t>
      </w:r>
    </w:p>
    <w:p>
      <w:r>
        <w:t xml:space="preserve">5月11日，《国务院关于税收等优惠政策相关事项的通知》（下称《通知》）下发，对于《国务院关于清理规范税收等优惠政策的通知》相关事项作出进一步规定。</w:t>
      </w:r>
    </w:p>
    <w:p>
      <w:r>
        <w:t xml:space="preserve">《通知》明确，已出台的税收优惠政策，有规定期限的按规定执行；没有规定期限又确需调整的，设立过渡期，在过渡期内继续执行。各地与企业已签订合同中的优惠政策，继续有效；对已兑现的部分，不溯及既往。此外，《通知》指出，今后出台新的优惠政策，除法律法规已有规定外，涉及税收或中央批准设立的非税收入的，应报国务院批准后执行；其他由地方政府和部门批准后执行，其中安排支出一般不得与企业缴纳的税收或非税收入挂钩。</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两部门发文调整卷烟消费税"/>
      <w:bookmarkEnd w:id="33"/>
      <w:r>
        <w:t xml:space="preserve">两部门发文调整卷烟消费税</w:t>
      </w:r>
    </w:p>
    <w:p>
      <w:r>
        <w:t xml:space="preserve">近日，《财政部、国家税务总局关于调整卷烟消费税的通知》（下称《通知》）对外发布，自2015年5月10日起执行。</w:t>
      </w:r>
    </w:p>
    <w:p>
      <w:r>
        <w:t xml:space="preserve">《通知》规定，将卷烟批发环节从价税税率由5%提高至11%，并按0.005元/支加征从量税。纳税人兼营卷烟批发和零售业务的，应分别核算批发和零售环节的销售额、销售数量；未分别核算批发和零售环节销售额、销售数量的，按照全部销售额、销售数量计征批发环节消费税。此前有关文件规定与《通知》相抵触的，以《通知》为准。</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国税总局发文调整消费税纳税申报有关事项"/>
      <w:bookmarkEnd w:id="36"/>
      <w:r>
        <w:t xml:space="preserve">国税总局发文调整消费税纳税申报有关事项</w:t>
      </w:r>
    </w:p>
    <w:p>
      <w:r>
        <w:t xml:space="preserve">近日，国税总局下发《关于调整消费税纳税申报有关事项的公告》（下称《公告》），自2015年7月1日起施行。</w:t>
      </w:r>
    </w:p>
    <w:p>
      <w:r>
        <w:t xml:space="preserve">《公告》规定，在成品油、电池、涂料、小汽车、烟类、酒类、其他应税消费品消费税纳税申报其他资料中增加《本期减（免）税额明细表》，由享受消费税减免税优惠政策的纳税人在办理消费税纳税申报时填报。</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国税总局明确非货币性资产投资企业所得税征管"/>
      <w:bookmarkEnd w:id="39"/>
      <w:r>
        <w:t xml:space="preserve">国税总局明确非货币性资产投资企业所得税征管</w:t>
      </w:r>
    </w:p>
    <w:p>
      <w:r>
        <w:t xml:space="preserve">近日，国税总局下发《关于非货币性资产投资企业所得税有关征管问题的公告》（下称《公告》），适用2014年及以后年度企业所得税汇算清缴。</w:t>
      </w:r>
    </w:p>
    <w:p>
      <w:r>
        <w:t xml:space="preserve">《公告》明确，实行查账征收的居民企业以非货币性资产对外投资确认的非货币性资产转让所得，可自确认非货币性资产转让收入年度起不超过连续5个纳税年度期间内，分期均匀计入相应年度应纳税所得额，按规定计算缴纳企业所得税。此外，《公告》还明确了企业非货币性资产投资同时符合多项政策的税务处理、适用非货币性资产投资递延纳税政策的纳税人如何申报问题。</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3"/>
      </w:pPr>
      <w:bookmarkStart w:id="42" w:name="国税总局明确工资薪金福利费等税前扣除问题"/>
      <w:bookmarkEnd w:id="42"/>
      <w:r>
        <w:t xml:space="preserve">国税总局明确工资薪金福利费等税前扣除问题</w:t>
      </w:r>
    </w:p>
    <w:p>
      <w:r>
        <w:t xml:space="preserve">日前，国税总局发布《关于企业工资薪金和职工福利费等支出税前扣除问题的公告》（下称《公告》），适用于2014年及以后年度企业所得税汇算清缴。</w:t>
      </w:r>
    </w:p>
    <w:p>
      <w:r>
        <w:t xml:space="preserve">根据《公告》，列入企业员工工资薪金制度、固定与工资薪金一起发放的福利性补贴，符合《国家税务总局关于企业工资薪金及职工福利费扣除问题的通知》第一条规定的，可作为企业发生的工资薪金支出，按规定在税前扣除；不能同时符合条件的福利性补贴，应作为前述文件第三条规定的职工福利费，按规定计算限额税前扣除。同时，《公告》规定，企业在年度汇算清缴结束前向员工实际支付的已预提汇缴年度工资薪金，准予在汇缴年度按规定扣除。此外，《公告》明确了企业接受外部劳务派遣用工支出税前扣除问题。</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2"/>
      </w:pPr>
      <w:bookmarkStart w:id="45" w:name="行业"/>
      <w:bookmarkEnd w:id="45"/>
      <w:r>
        <w:t xml:space="preserve">行业</w:t>
      </w:r>
    </w:p>
    <w:p>
      <w:pPr>
        <w:pStyle w:val="Heading3"/>
      </w:pPr>
      <w:bookmarkStart w:id="46" w:name="工信部开展国家资源再生利用重大示范工程建设"/>
      <w:bookmarkEnd w:id="46"/>
      <w:r>
        <w:t xml:space="preserve">工信部开展国家资源再生利用重大示范工程建设</w:t>
      </w:r>
    </w:p>
    <w:p>
      <w:r>
        <w:t xml:space="preserve">日前，工信部办公厅发布《关于开展国家资源再生利用重大示范工程建设的通知》（下称《通知》）。</w:t>
      </w:r>
    </w:p>
    <w:p>
      <w:r>
        <w:t xml:space="preserve">《通知》规定，示范项目由企业自主申报，选择范围为废钢铁、废有色金属、废旧轮胎、废塑料、废油、废旧纺织品、建筑废弃物、废弃电器电子产品、报废汽车等资源再生利用领域。建设要求包括：1、符合产业政策、资源综合利用行业准入条件及清洁生产要求。2、企业经营状况良好，近三年无亏损。3、核心工艺技术先进成熟，废弃资源实现高值化、高质化利用。4、采用的设备设施先进完备、运转稳定，回收利用自动化程度高、能源利用效率高。5、环境保护指标符合标准，近三年无重大环保事故，等。</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3"/>
      </w:pPr>
      <w:bookmarkStart w:id="49" w:name="国务院发文加快培育外贸竞争新优势"/>
      <w:bookmarkEnd w:id="49"/>
      <w:r>
        <w:t xml:space="preserve">国务院发文加快培育外贸竞争新优势</w:t>
      </w:r>
    </w:p>
    <w:p>
      <w:r>
        <w:t xml:space="preserve">5月12日，《国务院关于加快培育外贸竞争新优势的若干意见》（下称《意见》）对外发布。</w:t>
      </w:r>
    </w:p>
    <w:p>
      <w:r>
        <w:t xml:space="preserve">《意见》提出，力争到2020年，外贸传统优势进一步巩固，竞争新优势培育取得实质性进展。提高新兴市场、中西部地区、一般贸易、服务贸易和品牌产品在我国外贸中的占比。同时，《意见》明确，推动我国外贸由规模速度型向质量效益型转变，包括推动出口由货物为主向货物、服务、技术、资本输出相结合转变；推动竞争优势由价格优势为主向技术、品牌、质量、服务为核心的综合竞争优势转变；推动增长动力由要素驱动为主向创新驱动转变等。</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3"/>
      </w:pPr>
      <w:bookmarkStart w:id="52" w:name="工商总局发文规范利用网络交易平台销售彩票行为"/>
      <w:bookmarkEnd w:id="52"/>
      <w:r>
        <w:t xml:space="preserve">工商总局发文规范利用网络交易平台销售彩票行为</w:t>
      </w:r>
    </w:p>
    <w:p>
      <w:r>
        <w:t xml:space="preserve">日前，《工商总局办公厅关于依法整治利用网络交易平台擅自销售彩票行为的通知》（下称《通知》）对外发布。</w:t>
      </w:r>
    </w:p>
    <w:p>
      <w:r>
        <w:t xml:space="preserve">《通知》规定，各地工商部门要督促辖区内网络交易平台按《网络交易管理办法》第九条的要求，及时清理平台内销售非法彩票的信息。对销售非法彩票行为，按《彩票管理条例》第38条规定及时向公安部门通报并配合查处；对销售非法彩票企业的处罚信息，通过企业信用信息公示系统公示；经营主体行为构成吊销营业执照的，应予以吊销。</w:t>
      </w:r>
    </w:p>
    <w:p>
      <w:hyperlink r:id="rId53">
        <w:r>
          <w:rPr>
            <w:rStyle w:val="Link"/>
          </w:rPr>
          <w:t xml:space="preserve">来源</w:t>
        </w:r>
      </w:hyperlink>
      <w:r>
        <w:t xml:space="preserve"> </w:t>
      </w:r>
      <w:r>
        <w:t xml:space="preserve">(</w:t>
      </w:r>
      <w:hyperlink r:id="rId54">
        <w:r>
          <w:rPr>
            <w:rStyle w:val="Link"/>
          </w:rPr>
          <w:t xml:space="preserve">副本</w:t>
        </w:r>
      </w:hyperlink>
      <w:r>
        <w:t xml:space="preserve">)</w:t>
      </w:r>
    </w:p>
    <w:p>
      <w:pPr>
        <w:pStyle w:val="Heading3"/>
      </w:pPr>
      <w:bookmarkStart w:id="55" w:name="国办发文深化医药卫生体制改革"/>
      <w:bookmarkEnd w:id="55"/>
      <w:r>
        <w:t xml:space="preserve">国办发文深化医药卫生体制改革</w:t>
      </w:r>
    </w:p>
    <w:p>
      <w:r>
        <w:t xml:space="preserve">日前，《国务院办公厅关于印发深化医药卫生体制改革2014年工作总结和2015年重点工作任务的通知》（下称《通知》）发布。</w:t>
      </w:r>
    </w:p>
    <w:p>
      <w:r>
        <w:t xml:space="preserve">《通知》明确，2015年要全面深化公立医院改革。所有县级公立医院和试点城市公立医院全部取消药品加成（中药饮片除外），对公立医院补偿由服务收费、药品加成收入和政府补助三个渠道改为服务收费和政府补助两个渠道。同时，《通知》要求健全全民医保体系。2015年基本医疗保险参保率稳定在95%以上，城镇居民医保和新农合人均政府补助标准提高到380元，城镇居民个人缴费达到人均不低于120元，新农合个人缴费达到人均120元左右。城镇居民医保和新农合政策范围内门诊费用支付比例达到50%，政策范围内住院费用支付比例达到75%左右。</w:t>
      </w:r>
    </w:p>
    <w:p>
      <w:hyperlink r:id="rId56">
        <w:r>
          <w:rPr>
            <w:rStyle w:val="Link"/>
          </w:rPr>
          <w:t xml:space="preserve">来源</w:t>
        </w:r>
      </w:hyperlink>
      <w:r>
        <w:t xml:space="preserve"> </w:t>
      </w:r>
      <w:r>
        <w:t xml:space="preserve">(</w:t>
      </w:r>
      <w:hyperlink r:id="rId57">
        <w:r>
          <w:rPr>
            <w:rStyle w:val="Link"/>
          </w:rPr>
          <w:t xml:space="preserve">副本</w:t>
        </w:r>
      </w:hyperlink>
      <w:r>
        <w:t xml:space="preserve">)</w:t>
      </w:r>
    </w:p>
    <w:p>
      <w:pPr>
        <w:pStyle w:val="Heading3"/>
      </w:pPr>
      <w:bookmarkStart w:id="58" w:name="发改委发文完善跨省跨区电能交易价格形成机制"/>
      <w:bookmarkEnd w:id="58"/>
      <w:r>
        <w:t xml:space="preserve">发改委发文完善跨省跨区电能交易价格形成机制</w:t>
      </w:r>
    </w:p>
    <w:p>
      <w:r>
        <w:t xml:space="preserve">近日，《国家发展改革委关于完善跨省跨区电能交易价格形成机制有关问题的通知》（下称《通知》）下发，相关电价政策自2015年4月20日起执行。</w:t>
      </w:r>
    </w:p>
    <w:p>
      <w:r>
        <w:t xml:space="preserve">《通知》规定，跨省跨区送电由送电、受电市场主体双方在自愿平等基础上，按“风险共担、利益共享”原则协商或通过市场化交易方式确定送受电量、价格，并建立价格调整机制。鼓励通过招标等竞争方式确定新建跨省跨区送电项目业主和电价；鼓励送受电双方建立长期稳定的电量交易和价格调整机制，并以中长期合同形式明确。国家已核定的跨省跨区电能交易送电价格，送受电双方可重新协商并按协商确定的价格执行，协商结果报送国家发改委和国家能源局。协商无法达成一致的，可建议国家发改委、国家能源局协调等。</w:t>
      </w:r>
    </w:p>
    <w:p>
      <w:hyperlink r:id="rId59">
        <w:r>
          <w:rPr>
            <w:rStyle w:val="Link"/>
          </w:rPr>
          <w:t xml:space="preserve">来源</w:t>
        </w:r>
      </w:hyperlink>
      <w:r>
        <w:t xml:space="preserve"> </w:t>
      </w:r>
      <w:r>
        <w:t xml:space="preserve">(</w:t>
      </w:r>
      <w:hyperlink r:id="rId60">
        <w:r>
          <w:rPr>
            <w:rStyle w:val="Link"/>
          </w:rPr>
          <w:t xml:space="preserve">副本</w:t>
        </w:r>
      </w:hyperlink>
      <w:r>
        <w:t xml:space="preserve">)</w:t>
      </w:r>
    </w:p>
    <w:p>
      <w:pPr>
        <w:pStyle w:val="Heading3"/>
      </w:pPr>
      <w:bookmarkStart w:id="61" w:name="国办发文全面推开县级公立医院综合改革"/>
      <w:bookmarkEnd w:id="61"/>
      <w:r>
        <w:t xml:space="preserve">国办发文全面推开县级公立医院综合改革</w:t>
      </w:r>
    </w:p>
    <w:p>
      <w:r>
        <w:t xml:space="preserve">近日，国办印发《关于全面推开县级公立医院综合改革的实施意见》（下称《意见》）。</w:t>
      </w:r>
    </w:p>
    <w:p>
      <w:r>
        <w:t xml:space="preserve">《意见》指出，2015年，在全国所有县（市）的县级公立医院破除以药补医，以管理体制、运行机制、服务价格调整、人事薪酬、医保支付等为重点，全面推开县级公立医院综合改革。在优化县域医疗资源配置方面，《意见》要求，严禁县级公立医院自行举债建设和举债购置大型医用设备，鼓励县级公立医院使用国产设备和器械。严格控制超越县级公立医院功能定位或疗效不明确、费用高昂的医疗技术、大型医用设备的引进和应用。此外，《意见》明确，县级公立医院要合理确定医务人员薪酬水平。严禁给医务人员设定创收指标，严禁将医务人员收入与医院的药品、检查、治疗等收入挂钩。</w:t>
      </w:r>
    </w:p>
    <w:p>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Heading3"/>
      </w:pPr>
      <w:bookmarkStart w:id="64" w:name="七部门发文加快成品油质量升级"/>
      <w:bookmarkEnd w:id="64"/>
      <w:r>
        <w:t xml:space="preserve">七部门发文加快成品油质量升级</w:t>
      </w:r>
    </w:p>
    <w:p>
      <w:r>
        <w:t xml:space="preserve">日前，国家发改委、财政部等七部门联合发布《加快成品油质量升级工作方案》（下称《工作方案》）。</w:t>
      </w:r>
    </w:p>
    <w:p>
      <w:r>
        <w:t xml:space="preserve">《工作方案》提出成品油质量升级相关目标和重点任务。其中，主要目标包括扩大车用汽柴油国Ⅴ标准执行范围、提前国Ⅴ标准车用汽柴油供应时间以及增加普通柴油升级内容。重点任务是指推动炼油企业加快升级、保障国Ⅴ油品市场供应、促进炼油产业结构优化、加快提升油品标准水平。到2015年底主要保供企业具备国Ⅴ车用汽油5270万吨、国Ⅴ车用柴油6170万吨供应能力，加上区域内其它企业及周边地区富余供应能力，充分保障东部地区2016年车用汽油6400万吨，车用柴油5310万吨的需求等；2018年全国需供应国Ⅴ标准普通柴油约5200万吨等。</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3"/>
      </w:pPr>
      <w:bookmarkStart w:id="67" w:name="国务院大力发展电子商务-加快培育经济新动力"/>
      <w:bookmarkEnd w:id="67"/>
      <w:r>
        <w:t xml:space="preserve">国务院：大力发展电子商务 加快培育经济新动力</w:t>
      </w:r>
    </w:p>
    <w:p>
      <w:r>
        <w:t xml:space="preserve">近日，国务院发布《关于大力发展电子商务加快培育经济新动力的意见》（下称《意见》），部署进一步促进电子商务创新发展。</w:t>
      </w:r>
    </w:p>
    <w:p>
      <w:r>
        <w:t xml:space="preserve">《意见》明确，到2020年，统一开放、竞争有序、诚信守法、安全可靠的电子商务大市场基本建成。《意见》提出了七方面的政策措施，包括：降低准入门槛，合理降税减负，加大金融服务支持；鼓励电子商务领域就业创业；推动传统商贸流通企业发展电子商务等。《意见》要求，简化境内电子商务企业海外上市审批流程，鼓励电子商务领域的跨境人民币直接投资。放开外商投资电子商务业务的外方持股比例限制。此外，有关部门要按职责分工分别负责研究鼓励符合条件的互联网企业在境内上市等相关政策。</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3"/>
      </w:pPr>
      <w:bookmarkStart w:id="70" w:name="国土部发文放宽采矿权相关市场准入"/>
      <w:bookmarkEnd w:id="70"/>
      <w:r>
        <w:t xml:space="preserve">国土部发文放宽采矿权相关市场准入</w:t>
      </w:r>
    </w:p>
    <w:p>
      <w:r>
        <w:t xml:space="preserve">近日，国土资源部印发《关于修改〈国土资源部关于进一步完善采矿权登记管理有关问题的通知〉第十三条规定的通知》（下称《通知》），旨在放宽相关市场准入。</w:t>
      </w:r>
    </w:p>
    <w:p>
      <w:r>
        <w:t xml:space="preserve">《通知》决定，将《国土资源部关于进一步完善采矿权登记管理有关问题的通知》第十三条修改为“申请采矿权应具有独立企业法人资格，外商投资企业申请限制类矿种采矿权的，应出具有关部门的项目核准文件。</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Heading2"/>
      </w:pPr>
      <w:bookmarkStart w:id="73" w:name="wto"/>
      <w:bookmarkEnd w:id="73"/>
      <w:r>
        <w:t xml:space="preserve">WTO</w:t>
      </w:r>
    </w:p>
    <w:p>
      <w:pPr>
        <w:pStyle w:val="Heading3"/>
      </w:pPr>
      <w:bookmarkStart w:id="74" w:name="海关总署出台支持粤津闽三个新设自贸试验区建设发展的支持措施"/>
      <w:bookmarkEnd w:id="74"/>
      <w:r>
        <w:t xml:space="preserve">海关总署出台支持粤津闽三个新设自贸试验区建设发展的支持措施</w:t>
      </w:r>
    </w:p>
    <w:p>
      <w:r>
        <w:t xml:space="preserve">近日，海关总署分别出台了海关支持粤津闽新设自贸试验区建设发展的三个《海关支持措施》。</w:t>
      </w:r>
    </w:p>
    <w:p>
      <w:r>
        <w:t xml:space="preserve">三个《海关支持措施》针对三个新设自贸试验区分别拟定了五方面25条支持措施，主要包括：创新海关监管制度，积极推进口岸部门综合执法试点和国际贸易“单一窗口”建设。深化海关区域通关一体化改革，强化海关间协作和互认共享，实现跨地区海关互联互通。实行“一地注册全国申报”制度；拓展海关特殊监管区域功能，在自贸试验区海关特殊监管区域内实施选择性征收关税政策，支持企业生产加工、物流和服务业深度融合，实现区内外政策衔接、监管联动、服务高效。支持自贸试验区内其他形式的海关特殊监管区域转型为综合保税区。</w:t>
      </w:r>
    </w:p>
    <w:p>
      <w:hyperlink r:id="rId75">
        <w:r>
          <w:rPr>
            <w:rStyle w:val="Link"/>
          </w:rPr>
          <w:t xml:space="preserve">来源</w:t>
        </w:r>
      </w:hyperlink>
      <w:r>
        <w:t xml:space="preserve"> </w:t>
      </w:r>
      <w:r>
        <w:t xml:space="preserve">(</w:t>
      </w:r>
      <w:hyperlink r:id="rId76">
        <w:r>
          <w:rPr>
            <w:rStyle w:val="Link"/>
          </w:rPr>
          <w:t xml:space="preserve">副本</w:t>
        </w:r>
      </w:hyperlink>
      <w:r>
        <w:t xml:space="preserve">)</w:t>
      </w:r>
    </w:p>
    <w:p>
      <w:pPr>
        <w:pStyle w:val="Heading2"/>
      </w:pPr>
      <w:bookmarkStart w:id="77" w:name="并购"/>
      <w:bookmarkEnd w:id="77"/>
      <w:r>
        <w:t xml:space="preserve">并购</w:t>
      </w:r>
    </w:p>
    <w:p>
      <w:pPr>
        <w:pStyle w:val="Heading3"/>
      </w:pPr>
      <w:bookmarkStart w:id="78" w:name="奥维通信15亿并购雪鲤鱼"/>
      <w:bookmarkEnd w:id="78"/>
      <w:r>
        <w:t xml:space="preserve">奥维通信15亿并购雪鲤鱼</w:t>
      </w:r>
    </w:p>
    <w:p>
      <w:r>
        <w:t xml:space="preserve">奥维通信5月14日披露定增预案，公司将以9.78元/股的价格，非公开发行不超1.81亿股，募资不超过17.7亿元，主要用于收购移动游戏运营商雪鲤鱼全部股权。</w:t>
      </w:r>
    </w:p>
    <w:p>
      <w:r>
        <w:t xml:space="preserve">本次发行对象为杜方、爱建证券、软盛资管、戴鸾慧、德华创投、唐鼎投资、问道创投、陈庆良、于宏民、翱雪全瀛共10名投资者。其中，公司实际控制人之一杜方拟认购9468.04万股股票。奥维通信此次募集的资金中，15.4亿元将用于收购雪鲤鱼100%股权，剩余2.3亿元补充流动资金。</w:t>
      </w:r>
    </w:p>
    <w:p>
      <w:r>
        <w:t xml:space="preserve">从拟收购标的来看，雪鲤鱼主营业务为移动游戏的研发和运营，以及移动游戏渠道接入平台的运营。自2014年7月开始，雪鲤鱼的平台发展战略已由功能手机游戏渠道接入平台延伸至智能手机游戏渠道接入平台。</w:t>
      </w:r>
    </w:p>
    <w:p>
      <w:hyperlink r:id="rId79">
        <w:r>
          <w:rPr>
            <w:rStyle w:val="Link"/>
          </w:rPr>
          <w:t xml:space="preserve">来源</w:t>
        </w:r>
      </w:hyperlink>
      <w:r>
        <w:t xml:space="preserve"> </w:t>
      </w:r>
      <w:r>
        <w:t xml:space="preserve">(</w:t>
      </w:r>
      <w:hyperlink r:id="rId80">
        <w:r>
          <w:rPr>
            <w:rStyle w:val="Link"/>
          </w:rPr>
          <w:t xml:space="preserve">副本</w:t>
        </w:r>
      </w:hyperlink>
      <w:r>
        <w:t xml:space="preserve">)</w:t>
      </w:r>
    </w:p>
    <w:p>
      <w:pPr>
        <w:pStyle w:val="Heading3"/>
      </w:pPr>
      <w:bookmarkStart w:id="81" w:name="凯乐科技子公司收购智能手机企业20股份"/>
      <w:bookmarkEnd w:id="81"/>
      <w:r>
        <w:t xml:space="preserve">凯乐科技子公司收购智能手机企业20%股份</w:t>
      </w:r>
    </w:p>
    <w:p>
      <w:r>
        <w:t xml:space="preserve">凯乐科技5月13日公告，其全资子公司上海凡卓于4月20日签订协议，拟出资400万元受让智能手机企业深圳犹他20%的股份。</w:t>
      </w:r>
    </w:p>
    <w:p>
      <w:r>
        <w:t xml:space="preserve">深圳犹他成立于2014年3月，注册资金1120万元，是一家集智能手机整机研发和集成、自主品牌经营等业务于一体的智能手机公司。截至2015年3月31日，深圳犹他累计营业收入和净利润分别为4048.37万元和229.86万元。</w:t>
      </w:r>
    </w:p>
    <w:p>
      <w:hyperlink r:id="rId82">
        <w:r>
          <w:rPr>
            <w:rStyle w:val="Link"/>
          </w:rPr>
          <w:t xml:space="preserve">来源</w:t>
        </w:r>
      </w:hyperlink>
      <w:r>
        <w:t xml:space="preserve"> </w:t>
      </w:r>
      <w:r>
        <w:t xml:space="preserve">(</w:t>
      </w:r>
      <w:hyperlink r:id="rId83">
        <w:r>
          <w:rPr>
            <w:rStyle w:val="Link"/>
          </w:rPr>
          <w:t xml:space="preserve">副本</w:t>
        </w:r>
      </w:hyperlink>
      <w:r>
        <w:t xml:space="preserve">)</w:t>
      </w:r>
    </w:p>
    <w:p>
      <w:pPr>
        <w:pStyle w:val="Heading3"/>
      </w:pPr>
      <w:bookmarkStart w:id="84" w:name="利君股份拟3.7亿收购德坤航空"/>
      <w:bookmarkEnd w:id="84"/>
      <w:r>
        <w:t xml:space="preserve">利君股份拟3.7亿收购德坤航空</w:t>
      </w:r>
    </w:p>
    <w:p>
      <w:r>
        <w:t xml:space="preserve">利君股份5月13日公告，拟以3.7亿元现金收购德坤航空100%股权。</w:t>
      </w:r>
    </w:p>
    <w:p>
      <w:r>
        <w:t xml:space="preserve">德坤航空成立于2008年12月，主要从事航空飞行器零部件开发制造。德坤航空所制造的航空零部件应用于多型号军用飞机、大型运输机、无人机、导弹等。作为空客、波音及商飞的国内转包配套零部件制造服务商，德坤航空为各大型客、货机及国内支线飞机的机体结构提供配套产品；同时，公司成功承制了中国商飞C919部分主要零部件外包加工。</w:t>
      </w:r>
    </w:p>
    <w:p>
      <w:hyperlink r:id="rId85">
        <w:r>
          <w:rPr>
            <w:rStyle w:val="Link"/>
          </w:rPr>
          <w:t xml:space="preserve">来源</w:t>
        </w:r>
      </w:hyperlink>
      <w:r>
        <w:t xml:space="preserve"> </w:t>
      </w:r>
      <w:r>
        <w:t xml:space="preserve">(</w:t>
      </w:r>
      <w:hyperlink r:id="rId86">
        <w:r>
          <w:rPr>
            <w:rStyle w:val="Link"/>
          </w:rPr>
          <w:t xml:space="preserve">副本</w:t>
        </w:r>
      </w:hyperlink>
      <w:r>
        <w:t xml:space="preserve">)</w:t>
      </w:r>
    </w:p>
    <w:p>
      <w:pPr>
        <w:pStyle w:val="Heading3"/>
      </w:pPr>
      <w:bookmarkStart w:id="87" w:name="重啤集团清仓重庆啤酒嘉士伯完成要约收购"/>
      <w:bookmarkEnd w:id="87"/>
      <w:r>
        <w:t xml:space="preserve">重啤集团清仓重庆啤酒嘉士伯完成要约收购</w:t>
      </w:r>
    </w:p>
    <w:p>
      <w:r>
        <w:t xml:space="preserve">重庆啤酒5月13日发布公告，重啤集团日前已减持其所持有的剩余的重庆啤酒2396.38万股股份，占公司总股本的4.95%，不再持有重庆啤酒股份，嘉士伯香港由此完成对重庆啤酒的要约收购。</w:t>
      </w:r>
    </w:p>
    <w:p>
      <w:r>
        <w:t xml:space="preserve">2013年11月1日，嘉士伯香港发起部分要约以收购重庆啤酒最多30.29%的已发行股份，并与重啤集团签署了一份股份转让锁定协议，约定重啤集团应以其当时持有的全部的20%重庆啤酒股份接受要约。但由于重庆啤酒股东预受要约股份的数量超过要约收购股份的数量，重啤集团在要约收购完成后，仍持有重庆啤酒2396.38万股股份，占公司已发行股份总数的4.95%，即“剩余股份”，减持期限为2015年6月11日。据公告，截至2015年4月7日，重啤集团已经减持完毕所持有的重庆啤酒剩余的4.95%股份。</w:t>
      </w:r>
    </w:p>
    <w:p>
      <w:hyperlink r:id="rId88">
        <w:r>
          <w:rPr>
            <w:rStyle w:val="Link"/>
          </w:rPr>
          <w:t xml:space="preserve">来源</w:t>
        </w:r>
      </w:hyperlink>
      <w:r>
        <w:t xml:space="preserve"> </w:t>
      </w:r>
      <w:r>
        <w:t xml:space="preserve">(</w:t>
      </w:r>
      <w:hyperlink r:id="rId89">
        <w:r>
          <w:rPr>
            <w:rStyle w:val="Link"/>
          </w:rPr>
          <w:t xml:space="preserve">副本</w:t>
        </w:r>
      </w:hyperlink>
      <w:r>
        <w:t xml:space="preserve">)</w:t>
      </w:r>
    </w:p>
    <w:p>
      <w:pPr>
        <w:pStyle w:val="Heading3"/>
      </w:pPr>
      <w:bookmarkStart w:id="90" w:name="工大高新25亿收购汉柏科技"/>
      <w:bookmarkEnd w:id="90"/>
      <w:r>
        <w:t xml:space="preserve">工大高新25亿收购汉柏科技</w:t>
      </w:r>
    </w:p>
    <w:p>
      <w:r>
        <w:t xml:space="preserve">工大高新5月13日发布重大资产重组草案。公司拟向控股股东哈尔滨工业大学高新技术开发总公司（下称“工大高总”）等28家机构及彭海帆等12名自然人，发行股份购买其持有的汉柏科技100%股权，同时向工大高总等10名特定对象发行股份募集配套资金不超过8.31亿元。</w:t>
      </w:r>
    </w:p>
    <w:p>
      <w:r>
        <w:t xml:space="preserve">根据方案，汉柏科技100%股权作价25亿元，工大高新拟以6.05元/股的价格发行4.13亿股。此外，公司拟以锁价方式向工大高总等10名特定对象以6.05元/股的价格发行不超过1.37亿股，募集资金不超过8.31亿元，用于汉柏明锐云数据中心的建设及补充上市公司流动资金。</w:t>
      </w:r>
    </w:p>
    <w:p>
      <w:hyperlink r:id="rId91">
        <w:r>
          <w:rPr>
            <w:rStyle w:val="Link"/>
          </w:rPr>
          <w:t xml:space="preserve">来源</w:t>
        </w:r>
      </w:hyperlink>
      <w:r>
        <w:t xml:space="preserve"> </w:t>
      </w:r>
      <w:r>
        <w:t xml:space="preserve">(</w:t>
      </w:r>
      <w:hyperlink r:id="rId92">
        <w:r>
          <w:rPr>
            <w:rStyle w:val="Link"/>
          </w:rPr>
          <w:t xml:space="preserve">副本</w:t>
        </w:r>
      </w:hyperlink>
      <w:r>
        <w:t xml:space="preserve">)</w:t>
      </w:r>
    </w:p>
    <w:p>
      <w:pPr>
        <w:pStyle w:val="Heading3"/>
      </w:pPr>
      <w:bookmarkStart w:id="93" w:name="完美环球子公司6050万美元入股富创传媒"/>
      <w:bookmarkEnd w:id="93"/>
      <w:r>
        <w:t xml:space="preserve">完美环球子公司6050万美元入股富创传媒</w:t>
      </w:r>
    </w:p>
    <w:p>
      <w:r>
        <w:t xml:space="preserve">完美环球5月13日公告，公司下属香港完美世界影视文化有限公司与中国富创传媒集团签署投资协议，约定由香港完美采用现金支付的方式，以3025万美元受让富创传媒控股股东所持富创传媒的股份10.37万股，并以3025万美元认购富创传媒新发行的股份10.37万股，交易总金额为6050万美元，合计取得标的公司18.8%股权。</w:t>
      </w:r>
    </w:p>
    <w:p>
      <w:r>
        <w:t xml:space="preserve">此次交易后，香港完美将成为富创传媒第二大股东。富创传媒2013年和2014年分别实现营业收入11.83亿元和13.55亿元，分别实现净利润5135万元和1.02亿元。</w:t>
      </w:r>
    </w:p>
    <w:p>
      <w:hyperlink r:id="rId94">
        <w:r>
          <w:rPr>
            <w:rStyle w:val="Link"/>
          </w:rPr>
          <w:t xml:space="preserve">来源</w:t>
        </w:r>
      </w:hyperlink>
      <w:r>
        <w:t xml:space="preserve"> </w:t>
      </w:r>
      <w:r>
        <w:t xml:space="preserve">(</w:t>
      </w:r>
      <w:hyperlink r:id="rId95">
        <w:r>
          <w:rPr>
            <w:rStyle w:val="Link"/>
          </w:rPr>
          <w:t xml:space="preserve">副本</w:t>
        </w:r>
      </w:hyperlink>
      <w:r>
        <w:t xml:space="preserve">)</w:t>
      </w:r>
    </w:p>
    <w:p>
      <w:pPr>
        <w:pStyle w:val="Heading3"/>
      </w:pPr>
      <w:bookmarkStart w:id="96" w:name="神剑股份4.25亿收购嘉业航空"/>
      <w:bookmarkEnd w:id="96"/>
      <w:r>
        <w:t xml:space="preserve">神剑股份4.25亿收购嘉业航空</w:t>
      </w:r>
    </w:p>
    <w:p>
      <w:r>
        <w:t xml:space="preserve">神剑股份5月12日发布公告，拟以4.25亿元收购西安嘉业航空公司（下称嘉业航空）的全部股权，变身化工新材料制造与高端装备制造并行的双主业上市公司。</w:t>
      </w:r>
    </w:p>
    <w:p>
      <w:r>
        <w:t xml:space="preserve">预案显示，神剑股份将以8.63元/股的价格，向徐昭等6名自然人和南海成长等4名机构投资者发行4924.68万股股份，购买嘉业航空100%股权，总对价为4.25亿元。</w:t>
      </w:r>
    </w:p>
    <w:p>
      <w:hyperlink r:id="rId97">
        <w:r>
          <w:rPr>
            <w:rStyle w:val="Link"/>
          </w:rPr>
          <w:t xml:space="preserve">来源</w:t>
        </w:r>
      </w:hyperlink>
      <w:r>
        <w:t xml:space="preserve"> </w:t>
      </w:r>
      <w:r>
        <w:t xml:space="preserve">(</w:t>
      </w:r>
      <w:hyperlink r:id="rId98">
        <w:r>
          <w:rPr>
            <w:rStyle w:val="Link"/>
          </w:rPr>
          <w:t xml:space="preserve">副本</w:t>
        </w:r>
      </w:hyperlink>
      <w:r>
        <w:t xml:space="preserve">)</w:t>
      </w:r>
    </w:p>
    <w:p>
      <w:pPr>
        <w:pStyle w:val="Heading3"/>
      </w:pPr>
      <w:bookmarkStart w:id="99" w:name="金固股份收购苏州智华20股权"/>
      <w:bookmarkEnd w:id="99"/>
      <w:r>
        <w:t xml:space="preserve">金固股份收购苏州智华20%股权</w:t>
      </w:r>
    </w:p>
    <w:p>
      <w:r>
        <w:t xml:space="preserve">金固股份5月11日公告，公司日前与苏州智华汽车电子有限公司签订了《投资意向协议》，公司拟以不超过4000万元对苏州智华进行股权投资，本次投资后金固股份持有苏州智华20%股权。苏州智华是专注于车辆智能驾驶的方案提供商。</w:t>
      </w:r>
    </w:p>
    <w:p>
      <w:r>
        <w:t xml:space="preserve">金固股份表示，公司致力于成为互联网汽车生态圈的构建者、整合者和分享平台，未来几年的战略规划是在汽车后市场及智能驾驶等互联网汽车领域进行投资布局，逐步打造成一体化的汽车生活及服务平台。通过对苏州智华的战略投资，在前装市场上可以实现客户资源的互补共享，在后装市场上可以与公司后服务平台特维轮深度协同合作，线上销售，线下安装服务为消费者提供智能驾驶解决方案。</w:t>
      </w:r>
    </w:p>
    <w:p>
      <w:hyperlink r:id="rId100">
        <w:r>
          <w:rPr>
            <w:rStyle w:val="Link"/>
          </w:rPr>
          <w:t xml:space="preserve">来源</w:t>
        </w:r>
      </w:hyperlink>
      <w:r>
        <w:t xml:space="preserve"> </w:t>
      </w:r>
      <w:r>
        <w:t xml:space="preserve">(</w:t>
      </w:r>
      <w:hyperlink r:id="rId101">
        <w:r>
          <w:rPr>
            <w:rStyle w:val="Link"/>
          </w:rPr>
          <w:t xml:space="preserve">副本</w:t>
        </w:r>
      </w:hyperlink>
      <w:r>
        <w:t xml:space="preserve">)</w:t>
      </w:r>
    </w:p>
    <w:p>
      <w:pPr>
        <w:pStyle w:val="Heading3"/>
      </w:pPr>
      <w:bookmarkStart w:id="102" w:name="精诚铜业5.2亿收购顶立科技"/>
      <w:bookmarkEnd w:id="102"/>
      <w:r>
        <w:t xml:space="preserve">精诚铜业5.2亿收购顶立科技</w:t>
      </w:r>
    </w:p>
    <w:p>
      <w:r>
        <w:t xml:space="preserve">精诚铜业5月11日宣告与新型热工装备龙头湖南顶立科技喜结良缘。考虑到顶立科技是目前国内航天航空、国防军工等领域特种大型热工装备的唯一研制单位，精诚铜业也将从此迈入航天军工时代。</w:t>
      </w:r>
    </w:p>
    <w:p>
      <w:r>
        <w:t xml:space="preserve">精诚铜业发布预案显示，公司拟以非公开发行股份并支付现金的方式购买顶立科技100%的股权，总对价为5.2亿元。其中精诚铜业将以发行股份的方式向顶立科技15位股东支付75%的股权对价3.9亿元，并向精诚铜业员工持股计划发行股份募集配套资金不超过1.3亿元，用于支付标的资产25%股权的现金对价。</w:t>
      </w:r>
    </w:p>
    <w:p>
      <w:hyperlink r:id="rId103">
        <w:r>
          <w:rPr>
            <w:rStyle w:val="Link"/>
          </w:rPr>
          <w:t xml:space="preserve">来源</w:t>
        </w:r>
      </w:hyperlink>
      <w:r>
        <w:t xml:space="preserve"> </w:t>
      </w:r>
      <w:r>
        <w:t xml:space="preserve">(</w:t>
      </w:r>
      <w:hyperlink r:id="rId104">
        <w:r>
          <w:rPr>
            <w:rStyle w:val="Link"/>
          </w:rPr>
          <w:t xml:space="preserve">副本</w:t>
        </w:r>
      </w:hyperlink>
      <w:r>
        <w:t xml:space="preserve">)</w:t>
      </w:r>
    </w:p>
    <w:p>
      <w:pPr>
        <w:pStyle w:val="Heading3"/>
      </w:pPr>
      <w:bookmarkStart w:id="105" w:name="金城医药拟定增20亿并购朗依制药"/>
      <w:bookmarkEnd w:id="105"/>
      <w:r>
        <w:t xml:space="preserve">金城医药拟定增20亿并购朗依制药</w:t>
      </w:r>
    </w:p>
    <w:p>
      <w:r>
        <w:t xml:space="preserve">金城医药5月15日公告，拟以31.13元/股的价格，合计非公开发行6424.67万股，作价约20亿元向锦圣基金和达孜创投购买朗依制药100%股权；同时拟以不低于36.24元/股的价格，向控股股东金城实业非公开发行股份募集配套资金不超过3亿元，用于建设标的公司原料药及制剂项目、偿还银行贷款和补充流动资金。</w:t>
      </w:r>
    </w:p>
    <w:p>
      <w:r>
        <w:t xml:space="preserve">朗依制药主营业务为化学合成制药的生产和销售，拥有22个药品批文，8个产品剂型，主要产品涵盖妇科类、调节免疫类、抗过敏类、心血管类等。</w:t>
      </w:r>
    </w:p>
    <w:p>
      <w:hyperlink r:id="rId106">
        <w:r>
          <w:rPr>
            <w:rStyle w:val="Link"/>
          </w:rPr>
          <w:t xml:space="preserve">来源</w:t>
        </w:r>
      </w:hyperlink>
      <w:r>
        <w:t xml:space="preserve"> </w:t>
      </w:r>
      <w:r>
        <w:t xml:space="preserve">(</w:t>
      </w:r>
      <w:hyperlink r:id="rId107">
        <w:r>
          <w:rPr>
            <w:rStyle w:val="Link"/>
          </w:rPr>
          <w:t xml:space="preserve">副本</w:t>
        </w:r>
      </w:hyperlink>
      <w:r>
        <w:t xml:space="preserve">)</w:t>
      </w:r>
    </w:p>
    <w:p>
      <w:pPr>
        <w:pStyle w:val="Heading3"/>
      </w:pPr>
      <w:bookmarkStart w:id="108" w:name="蓝丰生化11.8亿并购方舟制药"/>
      <w:bookmarkEnd w:id="108"/>
      <w:r>
        <w:t xml:space="preserve">28. 蓝丰生化11.8亿并购方舟制药</w:t>
      </w:r>
    </w:p>
    <w:p>
      <w:r>
        <w:t xml:space="preserve">蓝丰生化5月15日披露重组预案，拟以11.8亿元的价格收购陕西方舟制药有限公司100%股权，同时向多家机构募集配套资金5.3亿元。</w:t>
      </w:r>
    </w:p>
    <w:p>
      <w:r>
        <w:t xml:space="preserve">根据预案，蓝丰生化将以10.68元/股的价格，发行7734.08万股，支付本次收购的部分交易对价；同时，以现金方式支付剩余的3.54亿元。此外，蓝丰生化拟向吉富启晟、长城国融等6名对象非公开发行股份募集配套资金5.3亿元，发行价格为10.68元/股。所募集的配套资金将用于支付上述交易的现金对价，以及补充蓝丰生化流动资金和方舟制药运营资金。</w:t>
      </w:r>
    </w:p>
    <w:p>
      <w:hyperlink r:id="rId109">
        <w:r>
          <w:rPr>
            <w:rStyle w:val="Link"/>
          </w:rPr>
          <w:t xml:space="preserve">来源</w:t>
        </w:r>
      </w:hyperlink>
      <w:r>
        <w:t xml:space="preserve"> </w:t>
      </w:r>
      <w:r>
        <w:t xml:space="preserve">(</w:t>
      </w:r>
      <w:hyperlink r:id="rId110">
        <w:r>
          <w:rPr>
            <w:rStyle w:val="Link"/>
          </w:rPr>
          <w:t xml:space="preserve">副本</w:t>
        </w:r>
      </w:hyperlink>
      <w:r>
        <w:t xml:space="preserve">)</w:t>
      </w:r>
    </w:p>
    <w:p>
      <w:pPr>
        <w:pStyle w:val="Heading2"/>
      </w:pPr>
      <w:bookmarkStart w:id="111" w:name="其他"/>
      <w:bookmarkEnd w:id="111"/>
      <w:r>
        <w:t xml:space="preserve">其他</w:t>
      </w:r>
    </w:p>
    <w:p>
      <w:pPr>
        <w:pStyle w:val="Heading3"/>
      </w:pPr>
      <w:bookmarkStart w:id="112" w:name="国务院发文取消非行政许可审批事项"/>
      <w:bookmarkEnd w:id="112"/>
      <w:r>
        <w:t xml:space="preserve">国务院发文取消非行政许可审批事项</w:t>
      </w:r>
    </w:p>
    <w:p>
      <w:r>
        <w:t xml:space="preserve">5月14日，《国务院关于取消非行政许可审批事项的决定》（下称《决定》）对外发布。</w:t>
      </w:r>
    </w:p>
    <w:p>
      <w:r>
        <w:t xml:space="preserve">根据《决定》，取消包括“企业发行外债的额度审批、享受税收优惠政策的集成电路企业和国家规划布局内重点软件企业的认定、中小企业信用担保机构免征营业税审批”等49项非行政许可审批事项。此外，将84项非行政许可审批事项调整为政府内部审批事项。今后不再保留“非行政许可审批”这一审批类别。调整为政府内部审批的事项，不得面向公民、法人和其他社会组织实施审批。</w:t>
      </w:r>
    </w:p>
    <w:p>
      <w:hyperlink r:id="rId113">
        <w:r>
          <w:rPr>
            <w:rStyle w:val="Link"/>
          </w:rPr>
          <w:t xml:space="preserve">来源</w:t>
        </w:r>
      </w:hyperlink>
      <w:r>
        <w:t xml:space="preserve"> </w:t>
      </w:r>
      <w:r>
        <w:t xml:space="preserve">(</w:t>
      </w:r>
      <w:hyperlink r:id="rId114">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115">
        <w:r>
          <w:rPr>
            <w:rStyle w:val="Link"/>
          </w:rPr>
          <w:t xml:space="preserve">unsubscribe@charltonslaw.com</w:t>
        </w:r>
      </w:hyperlink>
    </w:p>
    <w:p>
      <w:r>
        <w:rPr>
          <w:b/>
        </w:rPr>
        <w:t xml:space="preserve">易周律师行 - 法讯 - 中国 - 第455期 - 2015年05月15日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fc08f93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4" Target="10.pdf" TargetMode="External" /><Relationship Type="http://schemas.openxmlformats.org/officeDocument/2006/relationships/hyperlink" Id="rId57" Target="11.pdf" TargetMode="External" /><Relationship Type="http://schemas.openxmlformats.org/officeDocument/2006/relationships/hyperlink" Id="rId60" Target="12.pdf" TargetMode="External" /><Relationship Type="http://schemas.openxmlformats.org/officeDocument/2006/relationships/hyperlink" Id="rId63" Target="13.pdf" TargetMode="External" /><Relationship Type="http://schemas.openxmlformats.org/officeDocument/2006/relationships/hyperlink" Id="rId66" Target="14.pdf" TargetMode="External" /><Relationship Type="http://schemas.openxmlformats.org/officeDocument/2006/relationships/hyperlink" Id="rId69" Target="15.pdf" TargetMode="External" /><Relationship Type="http://schemas.openxmlformats.org/officeDocument/2006/relationships/hyperlink" Id="rId72" Target="16.pdf" TargetMode="External" /><Relationship Type="http://schemas.openxmlformats.org/officeDocument/2006/relationships/hyperlink" Id="rId76" Target="17.pdf" TargetMode="External" /><Relationship Type="http://schemas.openxmlformats.org/officeDocument/2006/relationships/hyperlink" Id="rId80" Target="18.pdf" TargetMode="External" /><Relationship Type="http://schemas.openxmlformats.org/officeDocument/2006/relationships/hyperlink" Id="rId83" Target="19.pdf" TargetMode="External" /><Relationship Type="http://schemas.openxmlformats.org/officeDocument/2006/relationships/hyperlink" Id="rId29" Target="2.pdf" TargetMode="External" /><Relationship Type="http://schemas.openxmlformats.org/officeDocument/2006/relationships/hyperlink" Id="rId86" Target="20.pdf" TargetMode="External" /><Relationship Type="http://schemas.openxmlformats.org/officeDocument/2006/relationships/hyperlink" Id="rId89" Target="21.pdf" TargetMode="External" /><Relationship Type="http://schemas.openxmlformats.org/officeDocument/2006/relationships/hyperlink" Id="rId92" Target="22.pdf" TargetMode="External" /><Relationship Type="http://schemas.openxmlformats.org/officeDocument/2006/relationships/hyperlink" Id="rId95" Target="23.pdf" TargetMode="External" /><Relationship Type="http://schemas.openxmlformats.org/officeDocument/2006/relationships/hyperlink" Id="rId98" Target="24.pdf" TargetMode="External" /><Relationship Type="http://schemas.openxmlformats.org/officeDocument/2006/relationships/hyperlink" Id="rId101" Target="25.pdf" TargetMode="External" /><Relationship Type="http://schemas.openxmlformats.org/officeDocument/2006/relationships/hyperlink" Id="rId104" Target="26.pdf" TargetMode="External" /><Relationship Type="http://schemas.openxmlformats.org/officeDocument/2006/relationships/hyperlink" Id="rId107" Target="27.pdf" TargetMode="External" /><Relationship Type="http://schemas.openxmlformats.org/officeDocument/2006/relationships/hyperlink" Id="rId110" Target="28.pdf" TargetMode="External" /><Relationship Type="http://schemas.openxmlformats.org/officeDocument/2006/relationships/hyperlink" Id="rId114" Target="29.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4" Target="7.pdf" TargetMode="External" /><Relationship Type="http://schemas.openxmlformats.org/officeDocument/2006/relationships/hyperlink" Id="rId48" Target="8.pdf" TargetMode="External" /><Relationship Type="http://schemas.openxmlformats.org/officeDocument/2006/relationships/hyperlink" Id="rId51" Target="9.pdf" TargetMode="External" /><Relationship Type="http://schemas.openxmlformats.org/officeDocument/2006/relationships/hyperlink" Id="rId100" Target="http://epaper.stcn.com/paper/zqsb/html/2015-05/11/content_687856.htm" TargetMode="External" /><Relationship Type="http://schemas.openxmlformats.org/officeDocument/2006/relationships/hyperlink" Id="rId103" Target="http://epaper.stcn.com/paper/zqsb/html/2015-05/11/content_687857.htm" TargetMode="External" /><Relationship Type="http://schemas.openxmlformats.org/officeDocument/2006/relationships/hyperlink" Id="rId97" Target="http://epaper.stcn.com/paper/zqsb/html/2015-05/12/content_688227.htm" TargetMode="External" /><Relationship Type="http://schemas.openxmlformats.org/officeDocument/2006/relationships/hyperlink" Id="rId88" Target="http://epaper.stcn.com/paper/zqsb/html/2015-05/13/content_688744.htm" TargetMode="External" /><Relationship Type="http://schemas.openxmlformats.org/officeDocument/2006/relationships/hyperlink" Id="rId91" Target="http://epaper.stcn.com/paper/zqsb/html/2015-05/13/content_688745.htm" TargetMode="External" /><Relationship Type="http://schemas.openxmlformats.org/officeDocument/2006/relationships/hyperlink" Id="rId94" Target="http://epaper.stcn.com/paper/zqsb/html/2015-05/13/content_688746.htm" TargetMode="External" /><Relationship Type="http://schemas.openxmlformats.org/officeDocument/2006/relationships/hyperlink" Id="rId82" Target="http://epaper.stcn.com/paper/zqsb/html/2015-05/13/content_688748.htm" TargetMode="External" /><Relationship Type="http://schemas.openxmlformats.org/officeDocument/2006/relationships/hyperlink" Id="rId85" Target="http://epaper.stcn.com/paper/zqsb/html/2015-05/13/content_688750.htm" TargetMode="External" /><Relationship Type="http://schemas.openxmlformats.org/officeDocument/2006/relationships/hyperlink" Id="rId79" Target="http://epaper.stcn.com/paper/zqsb/html/epaper/index/content_689156.htm" TargetMode="External" /><Relationship Type="http://schemas.openxmlformats.org/officeDocument/2006/relationships/hyperlink" Id="rId106" Target="http://epaper.stcn.com/paper/zqsb/html/epaper/index/content_689702.htm" TargetMode="External" /><Relationship Type="http://schemas.openxmlformats.org/officeDocument/2006/relationships/hyperlink" Id="rId109" Target="http://epaper.stcn.com/paper/zqsb/html/epaper/index/content_689703.htm" TargetMode="External" /><Relationship Type="http://schemas.openxmlformats.org/officeDocument/2006/relationships/hyperlink" Id="rId28" Target="http://szs.mof.gov.cn/zhengwuxinxi/zhengcefabu/201505/t20150512_1230327.html" TargetMode="External" /><Relationship Type="http://schemas.openxmlformats.org/officeDocument/2006/relationships/hyperlink" Id="rId21" Target="http://www.charltonslaw.com.cn/china-news-alerts-cn-issue-455/" TargetMode="External" /><Relationship Type="http://schemas.openxmlformats.org/officeDocument/2006/relationships/hyperlink" Id="rId25" Target="http://www.chinatax.gov.cn/n810341/n810755/c1598541/content.html" TargetMode="External" /><Relationship Type="http://schemas.openxmlformats.org/officeDocument/2006/relationships/hyperlink" Id="rId34" Target="http://www.chinatax.gov.cn/n810341/n810755/c1601367/content.html" TargetMode="External" /><Relationship Type="http://schemas.openxmlformats.org/officeDocument/2006/relationships/hyperlink" Id="rId37" Target="http://www.chinatax.gov.cn/n810341/n810755/c1607390/content.html" TargetMode="External" /><Relationship Type="http://schemas.openxmlformats.org/officeDocument/2006/relationships/hyperlink" Id="rId40" Target="http://www.chinatax.gov.cn/n810341/n810755/c1609048/content.html" TargetMode="External" /><Relationship Type="http://schemas.openxmlformats.org/officeDocument/2006/relationships/hyperlink" Id="rId43" Target="http://www.chinatax.gov.cn/n810341/n810755/c1609299/content.html" TargetMode="External" /><Relationship Type="http://schemas.openxmlformats.org/officeDocument/2006/relationships/hyperlink" Id="rId75" Target="http://www.customs.gov.cn/publish/portal0/tab49564/info739938.htm" TargetMode="External" /><Relationship Type="http://schemas.openxmlformats.org/officeDocument/2006/relationships/hyperlink" Id="rId62" Target="http://www.gov.cn/zhengce/content/2015-05/08/content_9710.htm" TargetMode="External" /><Relationship Type="http://schemas.openxmlformats.org/officeDocument/2006/relationships/hyperlink" Id="rId56" Target="http://www.gov.cn/zhengce/content/2015-05/09/content_9716.htm" TargetMode="External" /><Relationship Type="http://schemas.openxmlformats.org/officeDocument/2006/relationships/hyperlink" Id="rId31" Target="http://www.gov.cn/zhengce/content/2015-05/11/content_9725.htm" TargetMode="External" /><Relationship Type="http://schemas.openxmlformats.org/officeDocument/2006/relationships/hyperlink" Id="rId50" Target="http://www.gov.cn/zhengce/content/2015-05/12/content_9735.htm" TargetMode="External" /><Relationship Type="http://schemas.openxmlformats.org/officeDocument/2006/relationships/hyperlink" Id="rId113" Target="http://www.gov.cn/zhengce/content/2015-05/14/content_9749.htm" TargetMode="External" /><Relationship Type="http://schemas.openxmlformats.org/officeDocument/2006/relationships/hyperlink" Id="rId47" Target="http://www.miit.gov.cn/n11293472/n11293832/n12843926/n13917012/16584183.html" TargetMode="External" /><Relationship Type="http://schemas.openxmlformats.org/officeDocument/2006/relationships/hyperlink" Id="rId71" Target="http://www.mlr.gov.cn/zwgk/zytz/201505/t20150512_1350387.htm" TargetMode="External" /><Relationship Type="http://schemas.openxmlformats.org/officeDocument/2006/relationships/hyperlink" Id="rId68" Target="http://www.mof.gov.cn/zhengwuxinxi/zhengcefabu/201505/t20150508_1228643.htm" TargetMode="External" /><Relationship Type="http://schemas.openxmlformats.org/officeDocument/2006/relationships/hyperlink" Id="rId53" Target="http://www.saic.gov.cn/zwgk/zyfb/zjwj/scgfgls/201505/t20150508_156195.html" TargetMode="External" /><Relationship Type="http://schemas.openxmlformats.org/officeDocument/2006/relationships/hyperlink" Id="rId65" Target="http://www.sdpc.gov.cn/gzdt/201505/t20150507_691028.html" TargetMode="External" /><Relationship Type="http://schemas.openxmlformats.org/officeDocument/2006/relationships/hyperlink" Id="rId59" Target="http://www.sdpc.gov.cn/gzdt/201505/t20150507_691137.html" TargetMode="External" /><Relationship Type="http://schemas.openxmlformats.org/officeDocument/2006/relationships/hyperlink" Id="rId115"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4" Target="10.pdf" TargetMode="External" /><Relationship Type="http://schemas.openxmlformats.org/officeDocument/2006/relationships/hyperlink" Id="rId57" Target="11.pdf" TargetMode="External" /><Relationship Type="http://schemas.openxmlformats.org/officeDocument/2006/relationships/hyperlink" Id="rId60" Target="12.pdf" TargetMode="External" /><Relationship Type="http://schemas.openxmlformats.org/officeDocument/2006/relationships/hyperlink" Id="rId63" Target="13.pdf" TargetMode="External" /><Relationship Type="http://schemas.openxmlformats.org/officeDocument/2006/relationships/hyperlink" Id="rId66" Target="14.pdf" TargetMode="External" /><Relationship Type="http://schemas.openxmlformats.org/officeDocument/2006/relationships/hyperlink" Id="rId69" Target="15.pdf" TargetMode="External" /><Relationship Type="http://schemas.openxmlformats.org/officeDocument/2006/relationships/hyperlink" Id="rId72" Target="16.pdf" TargetMode="External" /><Relationship Type="http://schemas.openxmlformats.org/officeDocument/2006/relationships/hyperlink" Id="rId76" Target="17.pdf" TargetMode="External" /><Relationship Type="http://schemas.openxmlformats.org/officeDocument/2006/relationships/hyperlink" Id="rId80" Target="18.pdf" TargetMode="External" /><Relationship Type="http://schemas.openxmlformats.org/officeDocument/2006/relationships/hyperlink" Id="rId83" Target="19.pdf" TargetMode="External" /><Relationship Type="http://schemas.openxmlformats.org/officeDocument/2006/relationships/hyperlink" Id="rId29" Target="2.pdf" TargetMode="External" /><Relationship Type="http://schemas.openxmlformats.org/officeDocument/2006/relationships/hyperlink" Id="rId86" Target="20.pdf" TargetMode="External" /><Relationship Type="http://schemas.openxmlformats.org/officeDocument/2006/relationships/hyperlink" Id="rId89" Target="21.pdf" TargetMode="External" /><Relationship Type="http://schemas.openxmlformats.org/officeDocument/2006/relationships/hyperlink" Id="rId92" Target="22.pdf" TargetMode="External" /><Relationship Type="http://schemas.openxmlformats.org/officeDocument/2006/relationships/hyperlink" Id="rId95" Target="23.pdf" TargetMode="External" /><Relationship Type="http://schemas.openxmlformats.org/officeDocument/2006/relationships/hyperlink" Id="rId98" Target="24.pdf" TargetMode="External" /><Relationship Type="http://schemas.openxmlformats.org/officeDocument/2006/relationships/hyperlink" Id="rId101" Target="25.pdf" TargetMode="External" /><Relationship Type="http://schemas.openxmlformats.org/officeDocument/2006/relationships/hyperlink" Id="rId104" Target="26.pdf" TargetMode="External" /><Relationship Type="http://schemas.openxmlformats.org/officeDocument/2006/relationships/hyperlink" Id="rId107" Target="27.pdf" TargetMode="External" /><Relationship Type="http://schemas.openxmlformats.org/officeDocument/2006/relationships/hyperlink" Id="rId110" Target="28.pdf" TargetMode="External" /><Relationship Type="http://schemas.openxmlformats.org/officeDocument/2006/relationships/hyperlink" Id="rId114" Target="29.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4" Target="7.pdf" TargetMode="External" /><Relationship Type="http://schemas.openxmlformats.org/officeDocument/2006/relationships/hyperlink" Id="rId48" Target="8.pdf" TargetMode="External" /><Relationship Type="http://schemas.openxmlformats.org/officeDocument/2006/relationships/hyperlink" Id="rId51" Target="9.pdf" TargetMode="External" /><Relationship Type="http://schemas.openxmlformats.org/officeDocument/2006/relationships/hyperlink" Id="rId100" Target="http://epaper.stcn.com/paper/zqsb/html/2015-05/11/content_687856.htm" TargetMode="External" /><Relationship Type="http://schemas.openxmlformats.org/officeDocument/2006/relationships/hyperlink" Id="rId103" Target="http://epaper.stcn.com/paper/zqsb/html/2015-05/11/content_687857.htm" TargetMode="External" /><Relationship Type="http://schemas.openxmlformats.org/officeDocument/2006/relationships/hyperlink" Id="rId97" Target="http://epaper.stcn.com/paper/zqsb/html/2015-05/12/content_688227.htm" TargetMode="External" /><Relationship Type="http://schemas.openxmlformats.org/officeDocument/2006/relationships/hyperlink" Id="rId88" Target="http://epaper.stcn.com/paper/zqsb/html/2015-05/13/content_688744.htm" TargetMode="External" /><Relationship Type="http://schemas.openxmlformats.org/officeDocument/2006/relationships/hyperlink" Id="rId91" Target="http://epaper.stcn.com/paper/zqsb/html/2015-05/13/content_688745.htm" TargetMode="External" /><Relationship Type="http://schemas.openxmlformats.org/officeDocument/2006/relationships/hyperlink" Id="rId94" Target="http://epaper.stcn.com/paper/zqsb/html/2015-05/13/content_688746.htm" TargetMode="External" /><Relationship Type="http://schemas.openxmlformats.org/officeDocument/2006/relationships/hyperlink" Id="rId82" Target="http://epaper.stcn.com/paper/zqsb/html/2015-05/13/content_688748.htm" TargetMode="External" /><Relationship Type="http://schemas.openxmlformats.org/officeDocument/2006/relationships/hyperlink" Id="rId85" Target="http://epaper.stcn.com/paper/zqsb/html/2015-05/13/content_688750.htm" TargetMode="External" /><Relationship Type="http://schemas.openxmlformats.org/officeDocument/2006/relationships/hyperlink" Id="rId79" Target="http://epaper.stcn.com/paper/zqsb/html/epaper/index/content_689156.htm" TargetMode="External" /><Relationship Type="http://schemas.openxmlformats.org/officeDocument/2006/relationships/hyperlink" Id="rId106" Target="http://epaper.stcn.com/paper/zqsb/html/epaper/index/content_689702.htm" TargetMode="External" /><Relationship Type="http://schemas.openxmlformats.org/officeDocument/2006/relationships/hyperlink" Id="rId109" Target="http://epaper.stcn.com/paper/zqsb/html/epaper/index/content_689703.htm" TargetMode="External" /><Relationship Type="http://schemas.openxmlformats.org/officeDocument/2006/relationships/hyperlink" Id="rId28" Target="http://szs.mof.gov.cn/zhengwuxinxi/zhengcefabu/201505/t20150512_1230327.html" TargetMode="External" /><Relationship Type="http://schemas.openxmlformats.org/officeDocument/2006/relationships/hyperlink" Id="rId21" Target="http://www.charltonslaw.com.cn/china-news-alerts-cn-issue-455/" TargetMode="External" /><Relationship Type="http://schemas.openxmlformats.org/officeDocument/2006/relationships/hyperlink" Id="rId25" Target="http://www.chinatax.gov.cn/n810341/n810755/c1598541/content.html" TargetMode="External" /><Relationship Type="http://schemas.openxmlformats.org/officeDocument/2006/relationships/hyperlink" Id="rId34" Target="http://www.chinatax.gov.cn/n810341/n810755/c1601367/content.html" TargetMode="External" /><Relationship Type="http://schemas.openxmlformats.org/officeDocument/2006/relationships/hyperlink" Id="rId37" Target="http://www.chinatax.gov.cn/n810341/n810755/c1607390/content.html" TargetMode="External" /><Relationship Type="http://schemas.openxmlformats.org/officeDocument/2006/relationships/hyperlink" Id="rId40" Target="http://www.chinatax.gov.cn/n810341/n810755/c1609048/content.html" TargetMode="External" /><Relationship Type="http://schemas.openxmlformats.org/officeDocument/2006/relationships/hyperlink" Id="rId43" Target="http://www.chinatax.gov.cn/n810341/n810755/c1609299/content.html" TargetMode="External" /><Relationship Type="http://schemas.openxmlformats.org/officeDocument/2006/relationships/hyperlink" Id="rId75" Target="http://www.customs.gov.cn/publish/portal0/tab49564/info739938.htm" TargetMode="External" /><Relationship Type="http://schemas.openxmlformats.org/officeDocument/2006/relationships/hyperlink" Id="rId62" Target="http://www.gov.cn/zhengce/content/2015-05/08/content_9710.htm" TargetMode="External" /><Relationship Type="http://schemas.openxmlformats.org/officeDocument/2006/relationships/hyperlink" Id="rId56" Target="http://www.gov.cn/zhengce/content/2015-05/09/content_9716.htm" TargetMode="External" /><Relationship Type="http://schemas.openxmlformats.org/officeDocument/2006/relationships/hyperlink" Id="rId31" Target="http://www.gov.cn/zhengce/content/2015-05/11/content_9725.htm" TargetMode="External" /><Relationship Type="http://schemas.openxmlformats.org/officeDocument/2006/relationships/hyperlink" Id="rId50" Target="http://www.gov.cn/zhengce/content/2015-05/12/content_9735.htm" TargetMode="External" /><Relationship Type="http://schemas.openxmlformats.org/officeDocument/2006/relationships/hyperlink" Id="rId113" Target="http://www.gov.cn/zhengce/content/2015-05/14/content_9749.htm" TargetMode="External" /><Relationship Type="http://schemas.openxmlformats.org/officeDocument/2006/relationships/hyperlink" Id="rId47" Target="http://www.miit.gov.cn/n11293472/n11293832/n12843926/n13917012/16584183.html" TargetMode="External" /><Relationship Type="http://schemas.openxmlformats.org/officeDocument/2006/relationships/hyperlink" Id="rId71" Target="http://www.mlr.gov.cn/zwgk/zytz/201505/t20150512_1350387.htm" TargetMode="External" /><Relationship Type="http://schemas.openxmlformats.org/officeDocument/2006/relationships/hyperlink" Id="rId68" Target="http://www.mof.gov.cn/zhengwuxinxi/zhengcefabu/201505/t20150508_1228643.htm" TargetMode="External" /><Relationship Type="http://schemas.openxmlformats.org/officeDocument/2006/relationships/hyperlink" Id="rId53" Target="http://www.saic.gov.cn/zwgk/zyfb/zjwj/scgfgls/201505/t20150508_156195.html" TargetMode="External" /><Relationship Type="http://schemas.openxmlformats.org/officeDocument/2006/relationships/hyperlink" Id="rId65" Target="http://www.sdpc.gov.cn/gzdt/201505/t20150507_691028.html" TargetMode="External" /><Relationship Type="http://schemas.openxmlformats.org/officeDocument/2006/relationships/hyperlink" Id="rId59" Target="http://www.sdpc.gov.cn/gzdt/201505/t20150507_691137.html" TargetMode="External" /><Relationship Type="http://schemas.openxmlformats.org/officeDocument/2006/relationships/hyperlink" Id="rId115"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第455期 - 2015年05月15日</dc:title>
  <dc:creator/>
</cp:coreProperties>
</file>