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第456期</w:t>
      </w:r>
      <w:r>
        <w:t xml:space="preserve"> </w:t>
      </w:r>
      <w:r>
        <w:t xml:space="preserve">-</w:t>
      </w:r>
      <w:r>
        <w:t xml:space="preserve"> </w:t>
      </w:r>
      <w:r>
        <w:t xml:space="preserve">2015年05月22日</w:t>
      </w:r>
    </w:p>
    <w:p>
      <w:hyperlink r:id="rId21">
        <w:r>
          <w:rPr>
            <w:rStyle w:val="Link"/>
          </w:rPr>
          <w:t xml:space="preserve">网络版</w:t>
        </w:r>
      </w:hyperlink>
    </w:p>
    <w:p>
      <w:pPr>
        <w:pStyle w:val="Heading1"/>
      </w:pPr>
      <w:bookmarkStart w:id="22" w:name="法讯中国第456期"/>
      <w:bookmarkEnd w:id="22"/>
      <w:r>
        <w:t xml:space="preserve">法讯中国第456期</w:t>
      </w:r>
    </w:p>
    <w:p>
      <w:pPr>
        <w:pStyle w:val="Heading2"/>
      </w:pPr>
      <w:bookmarkStart w:id="23" w:name="资本市场"/>
      <w:bookmarkEnd w:id="23"/>
      <w:r>
        <w:t xml:space="preserve">资本市场</w:t>
      </w:r>
    </w:p>
    <w:p>
      <w:pPr>
        <w:pStyle w:val="Heading3"/>
      </w:pPr>
      <w:bookmarkStart w:id="24" w:name="国务院印发中国制造2025"/>
      <w:bookmarkEnd w:id="24"/>
      <w:r>
        <w:t xml:space="preserve">国务院印发《中国制造2025》</w:t>
      </w:r>
    </w:p>
    <w:p>
      <w:r>
        <w:t xml:space="preserve">国务院日前印发《中国制造2025》，提出通过“三步走”实现制造强国的战略目标。</w:t>
      </w:r>
    </w:p>
    <w:p>
      <w:r>
        <w:t xml:space="preserve">《中国制造2025》明确提出，到2025年迈入制造强国行列，2035年制造业整体达到世界制造强国阵营中等水平，新中国成立一百年时，制造业大国地位更加巩固，综合实力进入世界制造强国前列。《中国制造2025》提出了十大重点领域和五大工程，其中五项重点工程包括国家制造业创新中心建设、智能制造、工业强基、绿色制造、高端装备创新。此外，《中国制造2025》鼓励国家开发银行增加对制造业企业的贷款投放，引导金融机构创新符合制造业企业特点的产品和业务。支持符合条件的制造业企业在境内外上市融资、发行各类债务融资工具。</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发文加强非上市公众公司监管"/>
      <w:bookmarkEnd w:id="27"/>
      <w:r>
        <w:t xml:space="preserve">证监会发文加强非上市公众公司监管</w:t>
      </w:r>
    </w:p>
    <w:p>
      <w:r>
        <w:t xml:space="preserve">近日，证监会发布《关于加强非上市公众公司监管工作的指导意见》（下称《意见》），自公布之日起施行。</w:t>
      </w:r>
    </w:p>
    <w:p>
      <w:r>
        <w:t xml:space="preserve">《意见》分为五个部分：一是总体要求。二是规范各类市场主体行为。三是挂牌公司监管。四是不挂牌公司监管。五是监管协调。《意见》对非上市公众公司、中介机构、自律组织等市场主体提出了规范要求，强化各类市场主体的合规意识和法律责任。《意见》还明确要建立监管信息共享和公开机制、监管协作机制，以及加强日常监管与稽查执法的协调，非上市公众公司监管与中介机构监管的衔接等。《意见》指出，派出机构负责不挂牌公司监管，监管内容以股份管理以及基本的信息披露为主，包括配合地方政府，打击不挂牌公司和 200 人公司擅自发行股票的行为等。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收"/>
      <w:bookmarkEnd w:id="30"/>
      <w:r>
        <w:t xml:space="preserve">税收</w:t>
      </w:r>
    </w:p>
    <w:p>
      <w:pPr>
        <w:pStyle w:val="Heading3"/>
      </w:pPr>
      <w:bookmarkStart w:id="31" w:name="国税总局发文明确卷烟消费税政策调整有关问题"/>
      <w:bookmarkEnd w:id="31"/>
      <w:r>
        <w:t xml:space="preserve">国税总局发文明确卷烟消费税政策调整有关问题</w:t>
      </w:r>
    </w:p>
    <w:p>
      <w:r>
        <w:t xml:space="preserve">日前，国税总局发布《关于卷烟消费税政策调整有关问题的通知》（下称《通知》），进一步明确卷烟批发环节消费税税率调整后征管问题。</w:t>
      </w:r>
    </w:p>
    <w:p>
      <w:r>
        <w:t xml:space="preserve">《通知》规定，在纳税申报资料受理方面，主管税务机关在2015年6月申报期内，按国税总局公告2015年第35号附件受理卷烟批发环节消费税纳税人（下称“纳税人”）所报送纳税申报资料，包括：纸质《卷烟批发环节消费税纳税申报表（过渡期）》和《卷烟批发企业月份销售明细清单》电子数据。对纳税申报资料不符合要求的，告知纳税人更正后重新报送。同时，根据《通知》，主管税务机关对纳税人报送的纳税申报表表内适用税率及逻辑关系进行校验，对适用税率不准确和逻辑关系不符的，告知纳税人修改后重新报送。</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三部门发文明确新能源车船税优惠政策"/>
      <w:bookmarkEnd w:id="34"/>
      <w:r>
        <w:t xml:space="preserve">三部门发文明确新能源车船税优惠政策</w:t>
      </w:r>
    </w:p>
    <w:p>
      <w:r>
        <w:t xml:space="preserve">近日，财政部等三部门发布《关于节约能源、使用新能源车船车船税优惠政策的通知》（下称《通知》），自发布之日施行。</w:t>
      </w:r>
    </w:p>
    <w:p>
      <w:r>
        <w:t xml:space="preserve">《通知》明确了对节能车船减半征收车船税以及对使用新能源车船免征车船税等事宜。其中，减半征收车船税的节能乘用车应符合以下标准：1、获得许可在中国境内销售的排量为1.6升以下（含）的燃用汽油、柴油的乘用车；2、综合工况燃料消耗量符合标准；3、污染物排放符合《轻型汽车污染物排放限值及测量方法（中国第五阶段）》中I型试验限值标准。此外，根据《通知》，符合标准的节约能源乘用车等车型，由国家不定期发布《享受车船税减免优惠的节约能源 使用新能源汽车车型目录》予以公告。</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国税总局发文明确卷烟消费税调整后纳税申报有关问题"/>
      <w:bookmarkEnd w:id="37"/>
      <w:r>
        <w:t xml:space="preserve">国税总局发文明确卷烟消费税调整后纳税申报有关问题</w:t>
      </w:r>
    </w:p>
    <w:p>
      <w:r>
        <w:t xml:space="preserve">近日，国税总局下发《关于卷烟消费税政策调整后纳税申报有关问题的公告》（下称《公告》），自发布之日施行。</w:t>
      </w:r>
    </w:p>
    <w:p>
      <w:r>
        <w:t xml:space="preserve">《公告》规定，卷烟批发环节纳税人2015年5月1日至5月31日的消费税纳税申报，按税款所属期分段填写纸质《卷烟批发环节消费税纳税申报表（过渡期）》。其中，所属期为5月1日至5月9日的卷烟消费税，纳税人依调整前卷烟批发环节消费税税率计算填写；所属期为5月10日至5月31日的，依调整后税率计算填写。</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国家能源局发文完善风电年度开发方案管理"/>
      <w:bookmarkEnd w:id="41"/>
      <w:r>
        <w:t xml:space="preserve">国家能源局发文完善风电年度开发方案管理</w:t>
      </w:r>
    </w:p>
    <w:p>
      <w:r>
        <w:t xml:space="preserve">日前，国家能源局对外发布《关于进一步完善风电年度开发方案管理工作的通知》（下称《通知》）。</w:t>
      </w:r>
    </w:p>
    <w:p>
      <w:r>
        <w:t xml:space="preserve">《通知》明确，全国年度开发方案包括各省年度建设规模、布局、运行指标和有关管理要求。纳入年度开发方案的项目需满足至少1年的测风时间，落实项目建设用地、规划选址等，并在当年完成核准，无法按时核准的项目作废，不得置换。对年度开发方案完成率低于80%的省，下一年不安排新建项目规模。同时，《通知》规定，弃风限电比例超过20%的地区不得安排新的建设项目，且须采取有效措施改善风电并网运行情况，研究提出促进风电并网和消纳的技术方案。此外，《通知》鼓励各省开展以市场化手段配置风能资源试点。</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安监总局发文深化工贸行业企业安全生产标准化建设"/>
      <w:bookmarkEnd w:id="44"/>
      <w:r>
        <w:t xml:space="preserve">安监总局发文深化工贸行业企业安全生产标准化建设</w:t>
      </w:r>
    </w:p>
    <w:p>
      <w:r>
        <w:t xml:space="preserve">日前，安监总局下发《关于深化工贸行业企业安全生产标准化建设的通知》（下称《通知》）。</w:t>
      </w:r>
    </w:p>
    <w:p>
      <w:r>
        <w:t xml:space="preserve">《通知》提出，要强化企业主要负责人标准化建设的法定责任意识，指导推动工贸行业企业全部启动，通过3至5年时间全面完成创建，使企业建立自主管理持续改进的安全管理体系；推动企业标准化建设与工伤保险、安全生产责任险费率挂钩，纳入企业信用信息公示系统、信贷信用等级评定等政策的落实，用市场化方式引导企业创建。《通知》要求，各级安全监管部门要建立严格的考评工作机制，对评审工作中有弄虚作假等行为的评审单位和评审人员一律取消其评审资格，并依法追究责任。</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北京市市场主体住所经营场所登记管理若干规定印发"/>
      <w:bookmarkEnd w:id="47"/>
      <w:r>
        <w:t xml:space="preserve">北京市市场主体住所（经营场所）登记管理若干规定印发</w:t>
      </w:r>
    </w:p>
    <w:p>
      <w:r>
        <w:t xml:space="preserve">近日，北京市政府印发《北京市市场主体住所（经营场所）登记管理若干规定》（下称《规定》），自2015年6月1日起实施。</w:t>
      </w:r>
    </w:p>
    <w:p>
      <w:r>
        <w:t xml:space="preserve">《规定》明确，市场主体住所（经营场所）应当符合有关法律、法规、规划和本市新增产业的禁止和限制目录规定的条件，不得利用违法建设开展生产经营活动。工商部门根据投诉举报及日常抽查情况，依法处理市场主体住所（经营场所）与实际情况不符的问题。对于通过登记的住所（经营场所）无法取得联系的市场主体，由工商部门载入经营异常名录，并通过企业信用信息公示系统向社会公示。此外，科技企业、文化创意企业使用符合《经营活动类别与房屋权属证件记载用途对照目录》规定的房屋作为住所（经营场所）的，可予办理登记。</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办加快高速宽带网络建设推进网络提速降费指导意见出台"/>
      <w:bookmarkEnd w:id="50"/>
      <w:r>
        <w:t xml:space="preserve">国办加快高速宽带网络建设推进网络提速降费指导意见出台</w:t>
      </w:r>
    </w:p>
    <w:p>
      <w:r>
        <w:t xml:space="preserve">国办日前发布《关于加快高速宽带网络建设推进网络提速降费的指导意见》（下称《意见》），提出包括加快高速宽带网络建设、推动电信企业降低网费等十四条意见。</w:t>
      </w:r>
    </w:p>
    <w:p>
      <w:r>
        <w:t xml:space="preserve">根据《意见》，2015年网络建设投资超过4300亿元，2016—2017年累计投资不低于7000亿元。到2017年底，全国所有设区市城区和大部分非设区市城区家庭具备100Mbps光纤接入能力，直辖市、省会城市等主要城市宽带用户平均接入速率超过30Mbps。《意见》还明确要有序开放电信市场，宽带接入业务开放试点企业2015年底前超过100家，带动民间资本投资超过100亿元，试点城市由16个增加到30个以上，2017年试点城市范围扩大到全国各地区。此外，《意见》鼓励电信企业推出流量不清零、流量转赠、套餐匹配等服务。</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商务部制定发布互联网流通行动计划"/>
      <w:bookmarkEnd w:id="53"/>
      <w:r>
        <w:t xml:space="preserve">商务部制定发布《“互联网+流通”行动计划》</w:t>
      </w:r>
    </w:p>
    <w:p>
      <w:r>
        <w:t xml:space="preserve">商务部最近制定发布了《“互联网+流通”行动计划》（下称《行动计划》），提出力争在2016年底，我国电子商务交易额达到22万亿元。网上零售额达到5.5万亿元。</w:t>
      </w:r>
    </w:p>
    <w:p>
      <w:r>
        <w:t xml:space="preserve">《行动计划》的主要任务是，在电子商务进农村、电子商务进中小城市、电子商务进社区、线上线下融合互动、跨境电子商务等领域打造安全高效、统一开放、竞争有序的流通产业升级版。鼓励电子商务企业“走出去”建立海外营销渠道，创立自有品牌，多渠道、多方式建立海外仓储设施等。《行动计划》提出，在全国创建培育200个电子商务进农村综合示范县，创建60个国家级电子商务示范基地，培育150家国家级电子商务示范企业，推动建设100个电子商务海外仓等。</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国办印发关于城市公立医院综合改革试点的指导意见"/>
      <w:bookmarkEnd w:id="56"/>
      <w:r>
        <w:t xml:space="preserve">国办印发《关于城市公立医院综合改革试点的指导意见》</w:t>
      </w:r>
    </w:p>
    <w:p>
      <w:r>
        <w:t xml:space="preserve">近日，国办发布《关于城市公立医院综合改革试点的指导意见》（下称《意见》），提出2015年进一步扩大城市公立医院综合改革试点。到2017年，城市公立医院综合改革试点全面推开。</w:t>
      </w:r>
    </w:p>
    <w:p>
      <w:r>
        <w:t xml:space="preserve">《意见》要求，破除以药补医机制，力争到2017年试点城市公立医院药占比（不含中药饮片）总体降到30%左右；百元医疗收入（不含药品收入）中消耗的卫生材料降到20元以下；深化医保支付方式改革，到2015年底，试点城市实施临床路径管理的病例数要达到公立医院出院病例数的30%，同步扩大按病种付费的病种数和住院患者按病种付费的覆盖面，实行按病种付费的病种不少于100个。《意见》强调，严禁给医务人员设定创收指标，医务人员个人薪酬不得与医院的药品、耗材、大型医学检查等业务收入挂钩。</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国务院发文推进国际产能和装备制造合作"/>
      <w:bookmarkEnd w:id="59"/>
      <w:r>
        <w:t xml:space="preserve">国务院发文推进国际产能和装备制造合作</w:t>
      </w:r>
    </w:p>
    <w:p>
      <w:r>
        <w:t xml:space="preserve">日前，国务院下发《关于推进国际产能和装备制造合作的指导意见》（下称《意见》）。</w:t>
      </w:r>
    </w:p>
    <w:p>
      <w:r>
        <w:t xml:space="preserve">《意见》提出，在主要目标方面，力争到2020年与重点国家产能合作机制基本建立，一批重点产能合作项目取得明显进展, 形成若干境外产能合作示范基地；在总体任务方面，将与我装备和产能契合度高、合作愿望强烈、合作条件和基础好的发展中国家作为重点，并开拓发达国家市场，以点带面，逐步扩展。此外，《意见》要求，提高企业“走出去”能力和水平。在继续发挥传统工程承包优势的同时，发挥资金技术优势，开展“工程承包＋融资”、“工程承包＋融资＋运营”合作，有条件的项目鼓励采用建设-经营-移交（BOT）以及政府和社会资本合作（PPP）等方式。</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安监总局印发淘汰落后与推广先进安全技术装备目录管理办法"/>
      <w:bookmarkEnd w:id="62"/>
      <w:r>
        <w:t xml:space="preserve">安监总局印发淘汰落后与推广先进安全技术装备目录管理办法</w:t>
      </w:r>
    </w:p>
    <w:p>
      <w:r>
        <w:t xml:space="preserve">近日，国家安监总局制发《淘汰落后与推广先进安全技术装备目录管理办法》（下称“办法”），自发布之日起施行，旨在提升企业安全生产保障能力。</w:t>
      </w:r>
    </w:p>
    <w:p>
      <w:r>
        <w:t xml:space="preserve">《办法》规定，对危及生产安全的落后安全技术装备实行强制淘汰，鼓励和支持先进安全技术装备推广应用。淘汰落后和推广先进安全技术装备的筛选采取自愿申报、组织推荐和国家安监总局主动确定的方式。此外，《办法》强调，淘汰落后安全技术装备应明确淘汰原因，推荐先进安全技术装备名单应明确技术装备名称、主要技术指标和性能要求等，但都不得明确生产厂商。</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工信部发文规范工业清洁生产审核和实施效果评估"/>
      <w:bookmarkEnd w:id="65"/>
      <w:r>
        <w:t xml:space="preserve">工信部发文规范工业清洁生产审核和实施效果评估</w:t>
      </w:r>
    </w:p>
    <w:p>
      <w:r>
        <w:t xml:space="preserve">日前，工信部发布《关于印发〈工业清洁生产审核规范〉和〈工业清洁生产实施效果评估规范〉的通知》。</w:t>
      </w:r>
    </w:p>
    <w:p>
      <w:r>
        <w:t xml:space="preserve">《工业清洁生产审核规范》（《审核规范》）适用于我国境内所有从事工业生产活动的单位及从事管理的部门。根据《审核规范》，有下列情形之一的企业应强制审核：污染物排放超过国家或地方排放标准，或虽未超过标准但超过重点污染物排放总量控制指标的；超过单位产品能源消耗限额标准构成高耗能的；使用有毒、有害原料进行生产或在生产中排放有毒有害物质的。根据《工业清洁生产实施效果评估规范》，工业清洁生产实施效果评估包括两部分内容：一是绩效评估；二是清洁生产水平评价。</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wto"/>
      <w:bookmarkEnd w:id="68"/>
      <w:r>
        <w:t xml:space="preserve">WTO</w:t>
      </w:r>
    </w:p>
    <w:p>
      <w:pPr>
        <w:pStyle w:val="Heading3"/>
      </w:pPr>
      <w:bookmarkStart w:id="69" w:name="中印企业签署220亿美元合作协议"/>
      <w:bookmarkEnd w:id="69"/>
      <w:r>
        <w:t xml:space="preserve">中印企业签署220亿美元合作协议</w:t>
      </w:r>
    </w:p>
    <w:p>
      <w:r>
        <w:t xml:space="preserve">5月16日在上海举行的“中国－印度经贸论坛”上，中印企业签署20余项、总额高达220亿美元的经贸合作协议,主要涉及能源、钢铁、电信、贸易、金融与经济园区等多个领域，其中一些合作具有突破意义，有望推动中印经贸合作进入快车道。</w:t>
      </w:r>
    </w:p>
    <w:p>
      <w:r>
        <w:t xml:space="preserve">在中印两国关系上，国家主席习近平曾提出4点建议，其中之一便是，要更加紧密地对接各自发展战略，实现两大经济体在更高水平上的互补互助，继续成为地区乃至世界经济增长“双引擎”。</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并购"/>
      <w:bookmarkEnd w:id="72"/>
      <w:r>
        <w:t xml:space="preserve">并购</w:t>
      </w:r>
    </w:p>
    <w:p>
      <w:pPr>
        <w:pStyle w:val="Heading3"/>
      </w:pPr>
      <w:bookmarkStart w:id="73" w:name="深华新深耕园林绿化16.6亿并购八达园林"/>
      <w:bookmarkEnd w:id="73"/>
      <w:r>
        <w:t xml:space="preserve">深华新深耕园林绿化16.6亿并购八达园林</w:t>
      </w:r>
    </w:p>
    <w:p>
      <w:r>
        <w:t xml:space="preserve">深华新5月19日公告，拟以发行股份和支付现金相结合的方式，购买八达园林100%股权。八达园林全部股权作价16.6亿元，上市公司拟支付现金8.47亿元收购王仁年持有的八达园林51%股权，剩余的49%股权以发行股份方式支付，发行价格为6.92元/股，发行数量约1.18亿股。</w:t>
      </w:r>
    </w:p>
    <w:p>
      <w:r>
        <w:t xml:space="preserve">王仁年为八达园林第一大股东，持有该公司62.55%的股权。此次交易完成后，八达园林将成为深华新全资子公司。根据交易合同，王仁年承诺，八达园林2015年至2017年经审计的归属于母公司股东的扣非后净利润分别不低于1.66亿元、2.31亿元及3.30亿元。</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2"/>
      </w:pPr>
      <w:bookmarkStart w:id="76" w:name="其他"/>
      <w:bookmarkEnd w:id="76"/>
      <w:r>
        <w:t xml:space="preserve">其他</w:t>
      </w:r>
    </w:p>
    <w:p>
      <w:pPr>
        <w:pStyle w:val="Heading3"/>
      </w:pPr>
      <w:bookmarkStart w:id="77" w:name="财政部印发节能减排补助资金管理暂行办法"/>
      <w:bookmarkEnd w:id="77"/>
      <w:r>
        <w:t xml:space="preserve">财政部印发节能减排补助资金管理暂行办法</w:t>
      </w:r>
    </w:p>
    <w:p>
      <w:r>
        <w:t xml:space="preserve">日前，财政部下发《节能减排补助资金管理暂行办法》（下称《办法》），旨在规范相关资金管理。</w:t>
      </w:r>
    </w:p>
    <w:p>
      <w:r>
        <w:t xml:space="preserve">《办法》规定，节能减排补助资金重点支持范围包括：1、节能减排体制机制创新；2、节能减排基础能力及公共平台建设；3、节能减排财政政策综合示范；4、重点领域、行业、地区节能减排；5、重点关键节能减排技术示范推广和改造升级；6、其他国务院批准的事项。同时，《办法》明确，资金分配结合工作性质、目标、投资成本、节能减排效果等因素，采用补助、以奖代补、贴息和据实结算等方式。此外，《办法》强调，任何单位或个人不得截留挪用资金，骗取、截留、挪用的依《财政违法行为处罚处分条例》等处理，涉嫌犯罪的移送司法机关。</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国土部修改地质灾害危险性评估单位资质管理办法等五规章"/>
      <w:bookmarkEnd w:id="80"/>
      <w:r>
        <w:t xml:space="preserve">国土部修改《地质灾害危险性评估单位资质管理办法》等五规章</w:t>
      </w:r>
    </w:p>
    <w:p>
      <w:r>
        <w:t xml:space="preserve">近日，国土资源部发布《关于修改〈地质灾害危险性评估单位资质管理办法〉等5部规章的决定》（下称《决定》），对相关规章的部分条款进行修改，并重新全文发布，自公布之日起实施。</w:t>
      </w:r>
    </w:p>
    <w:p>
      <w:r>
        <w:t xml:space="preserve">根据《决定》，删去《地质灾害危险性评估单位资质管理办法》第七条第一项、第八条第一项、第九条第一项；将《矿山地质环境保护规定》第九条第二款修改为“省、自治区、直辖市国土资源行政主管部门依据全国矿山地质环境保护规划，结合本行政区域的矿山地质环境调查评价结果，编制省、自治区、直辖市的矿山地质环境保护规划，报省、自治区、直辖市人民政府批准实施”。此外，《决定》还对其他3部规章进行了修改。</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3">
        <w:r>
          <w:rPr>
            <w:rStyle w:val="Link"/>
          </w:rPr>
          <w:t xml:space="preserve">unsubscribe@charltonslaw.com</w:t>
        </w:r>
      </w:hyperlink>
    </w:p>
    <w:p>
      <w:r>
        <w:rPr>
          <w:b/>
        </w:rPr>
        <w:t xml:space="preserve">易周律师行 - 法讯 - 中国 - 第456期 - 2015年05月22日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87f8ba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4" Target="http://epaper.stcn.com/paper/zqsb/html/2015-05/19/content_690914.htm" TargetMode="External" /><Relationship Type="http://schemas.openxmlformats.org/officeDocument/2006/relationships/hyperlink" Id="rId78" Target="http://jjs.mof.gov.cn/zhengwuxinxi/zhengcefagui/201505/t20150519_1233458.html" TargetMode="External" /><Relationship Type="http://schemas.openxmlformats.org/officeDocument/2006/relationships/hyperlink" Id="rId70" Target="http://stock.hexun.com/2015-05-18/175905282.html" TargetMode="External" /><Relationship Type="http://schemas.openxmlformats.org/officeDocument/2006/relationships/hyperlink" Id="rId35" Target="http://szs.mof.gov.cn/zhengwuxinxi/zhengcefabu/201505/t20150515_1232375.html" TargetMode="External" /><Relationship Type="http://schemas.openxmlformats.org/officeDocument/2006/relationships/hyperlink" Id="rId21" Target="http://www.charltonslaw.com.cn/china-news-alerts-cn-issue-456/" TargetMode="External" /><Relationship Type="http://schemas.openxmlformats.org/officeDocument/2006/relationships/hyperlink" Id="rId63" Target="http://www.chinasafety.gov.cn/newpage/Contents/Channel_5330/2015/0514/250637/content_250637.htm" TargetMode="External" /><Relationship Type="http://schemas.openxmlformats.org/officeDocument/2006/relationships/hyperlink" Id="rId45" Target="http://www.chinasafety.gov.cn/newpage/Contents/Channel_6288/2015/0520/250885/content_250885.htm" TargetMode="External" /><Relationship Type="http://schemas.openxmlformats.org/officeDocument/2006/relationships/hyperlink" Id="rId38" Target="http://www.chinatax.gov.cn/n810341/n810755/c1611686/content.html" TargetMode="External" /><Relationship Type="http://schemas.openxmlformats.org/officeDocument/2006/relationships/hyperlink" Id="rId32" Target="http://www.chinatax.gov.cn/n810341/n810755/c1617638/content.html" TargetMode="External" /><Relationship Type="http://schemas.openxmlformats.org/officeDocument/2006/relationships/hyperlink" Id="rId28" Target="http://www.csrc.gov.cn/pub/zjhpublic/zjh/201505/t20150515_277190.htm" TargetMode="External" /><Relationship Type="http://schemas.openxmlformats.org/officeDocument/2006/relationships/hyperlink" Id="rId60" Target="http://www.gov.cn/zhengce/content/2015-05/16/content_9771.htm" TargetMode="External" /><Relationship Type="http://schemas.openxmlformats.org/officeDocument/2006/relationships/hyperlink" Id="rId57" Target="http://www.gov.cn/zhengce/content/2015-05/17/content_9776.htm" TargetMode="External" /><Relationship Type="http://schemas.openxmlformats.org/officeDocument/2006/relationships/hyperlink" Id="rId25" Target="http://www.gov.cn/zhengce/content/2015-05/19/content_9784.htm" TargetMode="External" /><Relationship Type="http://schemas.openxmlformats.org/officeDocument/2006/relationships/hyperlink" Id="rId51" Target="http://www.gov.cn/zhengce/content/2015-05/20/content_9789.htm" TargetMode="External" /><Relationship Type="http://schemas.openxmlformats.org/officeDocument/2006/relationships/hyperlink" Id="rId66" Target="http://www.miit.gov.cn/n11293472/n11293832/n12843926/n13917012/16588120.html" TargetMode="External" /><Relationship Type="http://schemas.openxmlformats.org/officeDocument/2006/relationships/hyperlink" Id="rId81" Target="http://www.mlr.gov.cn/zwgk/zytz/201505/t20150518_1351014.htm" TargetMode="External" /><Relationship Type="http://schemas.openxmlformats.org/officeDocument/2006/relationships/hyperlink" Id="rId54" Target="http://www.mofcom.gov.cn/article/h/redht/201505/20150500972969.shtml" TargetMode="External" /><Relationship Type="http://schemas.openxmlformats.org/officeDocument/2006/relationships/hyperlink" Id="rId42" Target="http://zfxxgk.nea.gov.cn/auto87/201505/t20150520_1930.htm" TargetMode="External" /><Relationship Type="http://schemas.openxmlformats.org/officeDocument/2006/relationships/hyperlink" Id="rId48" Target="http://zhengwu.beijing.gov.cn/gzdt/gggs/t1389356.htm" TargetMode="External" /><Relationship Type="http://schemas.openxmlformats.org/officeDocument/2006/relationships/hyperlink" Id="rId8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4" Target="http://epaper.stcn.com/paper/zqsb/html/2015-05/19/content_690914.htm" TargetMode="External" /><Relationship Type="http://schemas.openxmlformats.org/officeDocument/2006/relationships/hyperlink" Id="rId78" Target="http://jjs.mof.gov.cn/zhengwuxinxi/zhengcefagui/201505/t20150519_1233458.html" TargetMode="External" /><Relationship Type="http://schemas.openxmlformats.org/officeDocument/2006/relationships/hyperlink" Id="rId70" Target="http://stock.hexun.com/2015-05-18/175905282.html" TargetMode="External" /><Relationship Type="http://schemas.openxmlformats.org/officeDocument/2006/relationships/hyperlink" Id="rId35" Target="http://szs.mof.gov.cn/zhengwuxinxi/zhengcefabu/201505/t20150515_1232375.html" TargetMode="External" /><Relationship Type="http://schemas.openxmlformats.org/officeDocument/2006/relationships/hyperlink" Id="rId21" Target="http://www.charltonslaw.com.cn/china-news-alerts-cn-issue-456/" TargetMode="External" /><Relationship Type="http://schemas.openxmlformats.org/officeDocument/2006/relationships/hyperlink" Id="rId63" Target="http://www.chinasafety.gov.cn/newpage/Contents/Channel_5330/2015/0514/250637/content_250637.htm" TargetMode="External" /><Relationship Type="http://schemas.openxmlformats.org/officeDocument/2006/relationships/hyperlink" Id="rId45" Target="http://www.chinasafety.gov.cn/newpage/Contents/Channel_6288/2015/0520/250885/content_250885.htm" TargetMode="External" /><Relationship Type="http://schemas.openxmlformats.org/officeDocument/2006/relationships/hyperlink" Id="rId38" Target="http://www.chinatax.gov.cn/n810341/n810755/c1611686/content.html" TargetMode="External" /><Relationship Type="http://schemas.openxmlformats.org/officeDocument/2006/relationships/hyperlink" Id="rId32" Target="http://www.chinatax.gov.cn/n810341/n810755/c1617638/content.html" TargetMode="External" /><Relationship Type="http://schemas.openxmlformats.org/officeDocument/2006/relationships/hyperlink" Id="rId28" Target="http://www.csrc.gov.cn/pub/zjhpublic/zjh/201505/t20150515_277190.htm" TargetMode="External" /><Relationship Type="http://schemas.openxmlformats.org/officeDocument/2006/relationships/hyperlink" Id="rId60" Target="http://www.gov.cn/zhengce/content/2015-05/16/content_9771.htm" TargetMode="External" /><Relationship Type="http://schemas.openxmlformats.org/officeDocument/2006/relationships/hyperlink" Id="rId57" Target="http://www.gov.cn/zhengce/content/2015-05/17/content_9776.htm" TargetMode="External" /><Relationship Type="http://schemas.openxmlformats.org/officeDocument/2006/relationships/hyperlink" Id="rId25" Target="http://www.gov.cn/zhengce/content/2015-05/19/content_9784.htm" TargetMode="External" /><Relationship Type="http://schemas.openxmlformats.org/officeDocument/2006/relationships/hyperlink" Id="rId51" Target="http://www.gov.cn/zhengce/content/2015-05/20/content_9789.htm" TargetMode="External" /><Relationship Type="http://schemas.openxmlformats.org/officeDocument/2006/relationships/hyperlink" Id="rId66" Target="http://www.miit.gov.cn/n11293472/n11293832/n12843926/n13917012/16588120.html" TargetMode="External" /><Relationship Type="http://schemas.openxmlformats.org/officeDocument/2006/relationships/hyperlink" Id="rId81" Target="http://www.mlr.gov.cn/zwgk/zytz/201505/t20150518_1351014.htm" TargetMode="External" /><Relationship Type="http://schemas.openxmlformats.org/officeDocument/2006/relationships/hyperlink" Id="rId54" Target="http://www.mofcom.gov.cn/article/h/redht/201505/20150500972969.shtml" TargetMode="External" /><Relationship Type="http://schemas.openxmlformats.org/officeDocument/2006/relationships/hyperlink" Id="rId42" Target="http://zfxxgk.nea.gov.cn/auto87/201505/t20150520_1930.htm" TargetMode="External" /><Relationship Type="http://schemas.openxmlformats.org/officeDocument/2006/relationships/hyperlink" Id="rId48" Target="http://zhengwu.beijing.gov.cn/gzdt/gggs/t1389356.htm" TargetMode="External" /><Relationship Type="http://schemas.openxmlformats.org/officeDocument/2006/relationships/hyperlink" Id="rId8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第456期 - 2015年05月22日</dc:title>
  <dc:creator/>
</cp:coreProperties>
</file>