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第457期</w:t>
      </w:r>
      <w:r>
        <w:t xml:space="preserve"> </w:t>
      </w:r>
      <w:r>
        <w:t xml:space="preserve">-</w:t>
      </w:r>
      <w:r>
        <w:t xml:space="preserve"> </w:t>
      </w:r>
      <w:r>
        <w:t xml:space="preserve">2015年05月29日</w:t>
      </w:r>
    </w:p>
    <w:p>
      <w:hyperlink r:id="rId21">
        <w:r>
          <w:rPr>
            <w:rStyle w:val="Link"/>
          </w:rPr>
          <w:t xml:space="preserve">网络版</w:t>
        </w:r>
      </w:hyperlink>
    </w:p>
    <w:p>
      <w:pPr>
        <w:pStyle w:val="Heading1"/>
      </w:pPr>
      <w:bookmarkStart w:id="22" w:name="法讯中国第457期"/>
      <w:bookmarkEnd w:id="22"/>
      <w:r>
        <w:t xml:space="preserve">法讯中国第457期</w:t>
      </w:r>
    </w:p>
    <w:p>
      <w:pPr>
        <w:pStyle w:val="Heading2"/>
      </w:pPr>
      <w:bookmarkStart w:id="23" w:name="资本市场"/>
      <w:bookmarkEnd w:id="23"/>
      <w:r>
        <w:t xml:space="preserve">资本市场</w:t>
      </w:r>
    </w:p>
    <w:p>
      <w:pPr>
        <w:pStyle w:val="Heading3"/>
      </w:pPr>
      <w:bookmarkStart w:id="24" w:name="央行取消银行间债券市场债券交易流通审批"/>
      <w:bookmarkEnd w:id="24"/>
      <w:r>
        <w:t xml:space="preserve">央行取消银行间债券市场债券交易流通审批</w:t>
      </w:r>
    </w:p>
    <w:p>
      <w:r>
        <w:t xml:space="preserve">央行日前发布公告，明确依法发行的各类债券，完成债权债务关系确立并登记完毕后，即可在银行间债券市场交易流通，并自发布之日起施行。</w:t>
      </w:r>
    </w:p>
    <w:p>
      <w:r>
        <w:t xml:space="preserve">根据公告，依法发行的各类债券，包括但不限于政府债券，中央银行债券，金融债券，企业债券、公司债券、非金融企业债务融资工具等公司信用类债券，资产支持证券等。全国银行间同业拆借中心以及中国人民银行同意的其他交易场所为债券交易流通提供服务。同业拆借中心收到完整的债券交易流通要素信息后，应在一个工作日内按照本公告要求办理债券交易流通手续。此外，公告明确，债券交易流通期间，单个投资者持有量超过该期债券发行量的30%时，债券登记托管结算机构应及时告知同业拆借中心并进行信息披露。</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国家发改委发挥企业债券融资功能支持重点项目建设"/>
      <w:bookmarkEnd w:id="27"/>
      <w:r>
        <w:t xml:space="preserve">国家发改委：发挥企业债券融资功能支持重点项目建设</w:t>
      </w:r>
    </w:p>
    <w:p>
      <w:r>
        <w:t xml:space="preserve">近日，国家发改委发布《关于充分发挥企业债券融资功能支持重点项目建设促进经济平稳较快发展的通知》（下称《通知》），鼓励优质企业发债用于重点领域、重点项目融资，支持县域企业发行企业债券融资。</w:t>
      </w:r>
    </w:p>
    <w:p>
      <w:r>
        <w:t xml:space="preserve">《通知》要求，科学设置企业债券发行条件。将城投类企业和一般生产经营类企业需提供担保措施的资产负债率要求分别放宽至65%和75%；主体评级AA+的，相应资产负债率要求放宽至70%和80%；主体评级AAA的，相应资产负债率要求进一步放宽至75%和85%。同时将债券募集资金占项目总投资比例放宽至不超过70%。此外，《通知》将本区域企业发行企业债券、中期票据等余额一般不超过上年度GDP8%的预警线提高到12%。</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中国结算进一步加强账户规范管理"/>
      <w:bookmarkEnd w:id="30"/>
      <w:r>
        <w:t xml:space="preserve">中国结算进一步加强账户规范管理</w:t>
      </w:r>
    </w:p>
    <w:p>
      <w:r>
        <w:t xml:space="preserve">中国证券登记结算公司日前发布《关于进一步加强账户规范管理有关事项的通知》（下称《通知》）。</w:t>
      </w:r>
    </w:p>
    <w:p>
      <w:r>
        <w:t xml:space="preserve">《通知》明确，各开户代理机构应当严格落实开户实名制和投资者适当性管理要求，认真履行开户实名制审核义务，确保账户实名制的有效落实，切实做好开户环节投资者教育及风险揭示工作，严禁为不满足有关适当性管理条件的投资者开立证券账户；应当严格根据投资者本人意愿为其开立多户，不得使用不正当竞争手段诱导没有实际需求的投资者开立多个证券账户。此外，各开户代理机构应当及时为投资者办理证券账户销户、转指定、转托管业务，不得无故限制或拖延为投资者办理转销户手续。</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上交所增加上市公司信息披露时段"/>
      <w:bookmarkEnd w:id="33"/>
      <w:r>
        <w:t xml:space="preserve">上交所增加上市公司信息披露时段</w:t>
      </w:r>
    </w:p>
    <w:p>
      <w:r>
        <w:t xml:space="preserve">5月24日，上交所发布《关于增加上市公司信息披露时段相关事项的通知》（下称《通知》），新增交易日早间、午间以及非交易日披露时段，自2015年6月1日起施行。</w:t>
      </w:r>
    </w:p>
    <w:p>
      <w:r>
        <w:t xml:space="preserve">《通知》显示，上交所本次为沪市全体上市公司新增交易日早间7:30至8:30、午间11:30至12:30，以及单一非交易日或连续非交易日的最后一日13:00至17:00共三个披露时段。由于事发突然、境内外时差等客观原因，上市公司无法在前一个信息披露时段内发布公告的，可以按照本通知规定要求，在交易日的早间或午间信息披露时段，通过上交所网站（www.sse.com.cn）发布公告，并于下一交易日刊登于中国证监会指定信息披露媒体。</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中国证监会与香港证监会决定开展内地与香港基金互认工作"/>
      <w:bookmarkEnd w:id="36"/>
      <w:r>
        <w:t xml:space="preserve">中国证监会与香港证监会决定开展内地与香港基金互认工作</w:t>
      </w:r>
    </w:p>
    <w:p>
      <w:r>
        <w:t xml:space="preserve">5月22日，中国证监会、香港证监会联合发布公告，决定开展内地与香港公开募集证券投资基金互认工作（以下简称基金互认），基金互认的正式实施时间为2015年7月1日。</w:t>
      </w:r>
    </w:p>
    <w:p>
      <w:r>
        <w:t xml:space="preserve">根据公告，中国证监会、香港证监会已就内地与香港开展基金互认工作的实施原则、互认模式与操作方案达成共识，并于2015年5月22日就基金互认有关工作安排正式签署了监管合作备忘录。通过基金互认，中国证监会、香港证监会将允许符合一定条件的内地与香港基金按照简易程序获得认可或许可在对方市场向公众投资者进行销售。此外，中国证监会与香港证监会通过对等设置互认条件，促使互认基金在两地市场互利发展和资金流出入基本均衡。基金互认的初始投资额度为资金进出各3000亿元人民币。</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证监会发布修订后的证券市场禁入规定"/>
      <w:bookmarkEnd w:id="39"/>
      <w:r>
        <w:t xml:space="preserve">证监会发布修订后的《证券市场禁入规定》</w:t>
      </w:r>
    </w:p>
    <w:p>
      <w:r>
        <w:t xml:space="preserve">证监会近日发布《关于修改〈证券市场禁入规定〉的决定》，对证券市场禁入措施，特别是终身市场禁入措施的适用条件和范围等进行了修改、完善，自2015年6月22日起施行。</w:t>
      </w:r>
    </w:p>
    <w:p>
      <w:r>
        <w:t xml:space="preserve">本次修改明确对于违反法律、行政法规或者中国证监会有关规定，采取隐瞒和编造重要事实等特别恶劣手段，或者涉案数额特别巨大的，可以采取终身市场禁入措施；同时增加规定因违反法律、行政法规或者中国证监会有关规定，五年内被中国证监会给予除警告之外的行政处罚三次以上，或者五年内曾经被采取证券市场禁入措施的，可以采取终身市场禁入措施。此外，将非上市公众公司的董事、监事、高级管理人员，非上市公众公司的控股股东、实际控制人及其董事、监事、高级管理人员纳入适用范围。</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3"/>
      </w:pPr>
      <w:bookmarkStart w:id="42" w:name="财政部等六部门鼓励地方运用ppp模式推进公共租赁住房投资建设和运营管理"/>
      <w:bookmarkEnd w:id="42"/>
      <w:r>
        <w:t xml:space="preserve">财政部等六部门鼓励地方运用PPP模式推进公共租赁住房投资建设和运营管理</w:t>
      </w:r>
    </w:p>
    <w:p>
      <w:r>
        <w:t xml:space="preserve">近日，财政部等六部门发布《关于运用政府和社会资本合作模式推进公共租赁住房投资建设和运营管理的通知》（下称《通知》）。</w:t>
      </w:r>
    </w:p>
    <w:p>
      <w:r>
        <w:t xml:space="preserve">《通知》明确了公共租赁住房项目政府和社会资本合作模式和条件、合作项目的适用范围，同时明确了包括财政政策、税费政策、土地政策、收购政策、融资政策等在内的政府支持PPP模式公共租赁住房的政策体系。根据《通知》，运用PPP模式的公共租赁住房项目必须纳入住房保障规划和年度计划，项目规划所在区域交通便利，学校、医院等公共基础设施配套齐全，户型建筑面积控制在60平方米以内，承租公共租赁住房的保障对象数量稳定，保障对象按市场租金水平向项目公司缴纳住房租金。</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3"/>
      </w:pPr>
      <w:bookmarkStart w:id="45" w:name="国务院多措并举推广政府和社会资本合作模式"/>
      <w:bookmarkEnd w:id="45"/>
      <w:r>
        <w:t xml:space="preserve">国务院：多措并举推广政府和社会资本合作模式</w:t>
      </w:r>
    </w:p>
    <w:p>
      <w:r>
        <w:t xml:space="preserve">近日，国办转发财政部、发改委、人民银行《关于在公共服务领域推广政府和社会资本合作模式指导意见》（下称《意见》）。</w:t>
      </w:r>
    </w:p>
    <w:p>
      <w:r>
        <w:t xml:space="preserve">《意见》明确，在能源、交通运输、水利、环境保护、农业、林业、科技、保障性安居工程、医疗、卫生、养老、教育、文化等公共服务领域，鼓励采用政府和社会资本合作模式，吸引社会资本参与。积极运用转让—运营—移交（TOT）、改建—运营—移交（ROT）等方式，将融资平台公司存量公共服务项目转型为政府和社会资本合作项目，引入社会资本参与改造和运营，在征得债权人同意的前提下，将政府性债务转换为非政府性债务。此外，《意见》鼓励符合条件的项目运营主体在资本市场通过发行公司债券、企业债券、中期票据、定向票据等市场化方式进行融资。</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2"/>
      </w:pPr>
      <w:bookmarkStart w:id="48" w:name="税收"/>
      <w:bookmarkEnd w:id="48"/>
      <w:r>
        <w:t xml:space="preserve">税收</w:t>
      </w:r>
    </w:p>
    <w:p>
      <w:pPr>
        <w:pStyle w:val="Heading3"/>
      </w:pPr>
      <w:bookmarkStart w:id="49" w:name="部分日用消费品进口关税将调低"/>
      <w:bookmarkEnd w:id="49"/>
      <w:r>
        <w:t xml:space="preserve">部分日用消费品进口关税将调低</w:t>
      </w:r>
    </w:p>
    <w:p>
      <w:r>
        <w:t xml:space="preserve">近日，国务院关税税则委员会下发《关于调整部分日用消费品进口关税的通知》（下称《通知》）。</w:t>
      </w:r>
    </w:p>
    <w:p>
      <w:r>
        <w:t xml:space="preserve">《通知》称，经国务院批准，自2015年6月1日起对部分日用消费品开展降低进口关税试点，以暂定税率方式降低护肤品等产品的进口关税。届时，西装、毛皮服装等进口关税将由14-23%降低到7-10%，短统靴、运动鞋等的进口关税由22-24%降低到12%，纸尿裤的进口关税由7.5%降低到2%，护肤品的进口关税由5%降低到2%。</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3"/>
      </w:pPr>
      <w:bookmarkStart w:id="52" w:name="增值税发票系统升级版开票软件数据接口规范下发"/>
      <w:bookmarkEnd w:id="52"/>
      <w:r>
        <w:t xml:space="preserve">增值税发票系统升级版开票软件数据接口规范下发</w:t>
      </w:r>
    </w:p>
    <w:p>
      <w:r>
        <w:t xml:space="preserve">日前，国税总局下发《关于发布增值税发票系统升级版开票软件数据接口规范的公告》（下称《公告》），自2015年6月15日施行。</w:t>
      </w:r>
    </w:p>
    <w:p>
      <w:r>
        <w:t xml:space="preserve">《公告》明确升级版开票软件指增值税纳税人安装使用的增值税发票系统升级版税控发票开票软件（金税盘版）和税控发票开票软件（税控盘版）。根据《公告》，数据接口规范包括导入和导出接口规范，支持增值税专用发票、货物运输业增值税专用发票、增值税普通发票和机动车销售统一发票。其中，导入接口规范指升级版开票软件可接收的待开具发票信息的数据格式；导出接口规范指从升级版开票软件导出已开具发票信息的数据格式。</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3"/>
      </w:pPr>
      <w:bookmarkStart w:id="55" w:name="国税总局发文明确白酒消费税最低计税价格核定问题"/>
      <w:bookmarkEnd w:id="55"/>
      <w:r>
        <w:t xml:space="preserve">国税总局发文明确白酒消费税最低计税价格核定问题</w:t>
      </w:r>
    </w:p>
    <w:p>
      <w:r>
        <w:t xml:space="preserve">近日，国税总局发布《关于白酒消费税最低计税价格核定问题的公告》（下称《公告》），自2015年6月1日起实施，此前已发生但尚未处理的事项按本公告执行。</w:t>
      </w:r>
    </w:p>
    <w:p>
      <w:r>
        <w:t xml:space="preserve">根据《公告》，纳税人将委托加工收回的白酒销售给销售单位，消费税计税价格低于销售单位对外销售价格（不含增值税）70%以下，属《中华人民共和国消费税暂行条例》第十条规定的情形，应按《国家税务总局关于加强白酒消费税征收管理的通知》（下称《通知》）规定的核价办法，核定消费税最低计税价格。同时，《公告》强调，上述销售单位是指《通知》附件《白酒消费税最低计税价格核定管理办法（试行）》第三条规定的情形。</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2"/>
      </w:pPr>
      <w:bookmarkStart w:id="58" w:name="行业"/>
      <w:bookmarkEnd w:id="58"/>
      <w:r>
        <w:t xml:space="preserve">行业</w:t>
      </w:r>
    </w:p>
    <w:p>
      <w:pPr>
        <w:pStyle w:val="Heading3"/>
      </w:pPr>
      <w:bookmarkStart w:id="59" w:name="北京市政府核准的投资项目目录2015年本发布"/>
      <w:bookmarkEnd w:id="59"/>
      <w:r>
        <w:t xml:space="preserve">北京市政府核准的投资项目目录（2015年本）发布</w:t>
      </w:r>
    </w:p>
    <w:p>
      <w:r>
        <w:t xml:space="preserve">近日，北京市政府发布《关于印发〈北京市政府核准的投资项目目录（2015年本）〉的通知》（下称《通知》），自发布之日起执行。</w:t>
      </w:r>
    </w:p>
    <w:p>
      <w:r>
        <w:t xml:space="preserve">《通知》指出，企业投资建设本目录内的固定资产投资项目，须按照规定报送有关项目核准机关核准。企业投资建设本目录外的项目，实行备案管理。事业单位、社会团体等投资建设的项目，按照本目录执行。《通知》明确，项目核准机关要严格按照规定权限、程序和时限等要求进行审查。对不符合法律法规规定以及未按规定权限和程序核准或者备案的项目，有关部门不得办理相关手续，金融机构不得提供信贷支持。</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3"/>
      </w:pPr>
      <w:bookmarkStart w:id="62" w:name="工信部发布新版钢铁行业规范条件及企业管理办法"/>
      <w:bookmarkEnd w:id="62"/>
      <w:r>
        <w:t xml:space="preserve">工信部发布新版钢铁行业规范条件及企业管理办法</w:t>
      </w:r>
    </w:p>
    <w:p>
      <w:r>
        <w:t xml:space="preserve">近日，工信部下发《钢铁行业规范条件（2015年修订）》（下称《规范条件》）和《钢铁行业规范企业管理办法》（下称《管理办法》），自2015年7月1日起实施。</w:t>
      </w:r>
    </w:p>
    <w:p>
      <w:r>
        <w:t xml:space="preserve">《规范条件》就产品质量、工艺与装备、环境保护、能源消耗和资源综合利用等作出规定。其中，在工艺与装备方面，《规范条件》提出：严格控制新增钢铁生产能力；新建、改造钢铁企业应按照全流程及经济规模设计和生产，实现生产流程各工序间的合理衔接；钢铁企业各工序须全面配备节能减排设施等。在环保方面，《规范条件》明确：钢铁企业须具备健全的环境保护管理制度，配套建设污染物治理设施；钢铁企业须做到达标排放并持有排污许可证等。此外，《管理办法》明确了职责分工、年度审查、变更、整改和撤销资格的具体要求。</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Heading3"/>
      </w:pPr>
      <w:bookmarkStart w:id="65" w:name="两部门发文调整完善农业三项补贴政策"/>
      <w:bookmarkEnd w:id="65"/>
      <w:r>
        <w:t xml:space="preserve">两部门发文调整完善农业三项补贴政策</w:t>
      </w:r>
    </w:p>
    <w:p>
      <w:r>
        <w:t xml:space="preserve">近日，财政部、农业部发布《关于调整完善农业三项补贴政策的指导意见》（下称《意见》）。</w:t>
      </w:r>
    </w:p>
    <w:p>
      <w:r>
        <w:t xml:space="preserve">《意见》包括“在全国调整20%的农资综合补贴资金支持粮食适度规模经营、选择部分地区开展农业“三项补贴”改革试点”两方面。其中，试点将农业“三项补贴”并为“农业支持保护补贴”，目标调整为支持耕地地力保护和粮食适度规模经营。将80%的农资综合补贴存量资金，加上种粮农民直接补贴和良种补贴资金，用于耕地地力保护：对已作畜牧养殖场使用的耕地林地转为设施农用地等的不再补贴；同时调动农民加强农业生态保护。此外，将20%的农资综合补贴存量资金，加上种粮大户补贴试点资金和农业“三项补贴”增量资金，按照统一调整完善政策的要求支持粮食适度规模经营。</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3"/>
      </w:pPr>
      <w:bookmarkStart w:id="68" w:name="全国农业可持续发展规划印发"/>
      <w:bookmarkEnd w:id="68"/>
      <w:r>
        <w:t xml:space="preserve">全国农业可持续发展规划印发</w:t>
      </w:r>
    </w:p>
    <w:p>
      <w:r>
        <w:t xml:space="preserve">近日，农业部等八部门联合发布《全国农业可持续发展规划（2015—2030年）》（下称《规划》）。</w:t>
      </w:r>
    </w:p>
    <w:p>
      <w:r>
        <w:t xml:space="preserve">《规划》明确了农业可持续发展的目标、任务、区域布局和重大工程等。其中，在目标方面，《规划》提出，到2020年，农业可持续发展取得初步成效，经济、社会、生态效益明显。到2030年，农业可持续发展取得显著成效。同时，在重点任务方面，《规划》要求优化发展布局，稳定提升农业产能，到2020年，农业科技进步贡献率达到60%以上，主要农作物耕种收综合机械化水平达到68%以上。《规划》还指出，现阶段，对土地经营规模相当于当地户均承包地面积10-15倍，务农收入相当于当地二、三产业务工收入的给予重点支持，允许农民以土地经营权入股发展农业产业化经营。</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3"/>
      </w:pPr>
      <w:bookmarkStart w:id="71" w:name="发改委发布交通运输支撑引领经济社会发展作用意见"/>
      <w:bookmarkEnd w:id="71"/>
      <w:r>
        <w:t xml:space="preserve">发改委发布交通运输支撑引领经济社会发展作用意见</w:t>
      </w:r>
    </w:p>
    <w:p>
      <w:r>
        <w:t xml:space="preserve">近日，国家发改委发布《关于当前更好发挥交通运输支撑引领经济社会发展作用的意见》（下称《意见》）。</w:t>
      </w:r>
    </w:p>
    <w:p>
      <w:r>
        <w:t xml:space="preserve">《意见》提出，要积极推进三大战略重大项目，包括“一带一路”交通走廊、京津冀协同发展交通一体化、长江经济带综合立体交通走廊。同时，加快建设中西部（含东北）交通重大项目。《意见》还鼓励开行市郊快铁。推动国有铁路按照市场化原则向社会资本开放“路权”，鼓励城市政府与铁路企业合作，充分利用既有铁路、站点资源，采用政府购买服务等方式，开行市域（郊）快铁。年内在北京、上海、广州、武汉、郑州等铁路客运枢纽，增加市域（郊）快铁开行对数，并选择新的线路进行试点。此外，《意见》明确要大力发展通用航空、全面推进交通智能化等。</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Heading3"/>
      </w:pPr>
      <w:bookmarkStart w:id="74" w:name="食药监局发布药品医疗器械产品注册收费标准和实施细则"/>
      <w:bookmarkEnd w:id="74"/>
      <w:r>
        <w:t xml:space="preserve">食药监局发布药品、医疗器械产品注册收费标准和实施细则</w:t>
      </w:r>
    </w:p>
    <w:p>
      <w:r>
        <w:t xml:space="preserve">5月27日，食药监局发布《药品、医疗器械产品注册收费标准》（下称《收费标准》）和《药品注册收费实施细则（试行）》（下称《实施细则》）、《医疗器械产品注册收费实施细则（试行）》，自发布之日起实施。</w:t>
      </w:r>
    </w:p>
    <w:p>
      <w:r>
        <w:t xml:space="preserve">《收费标准》明确，用于生产/上市的国产新药注册费为43.20万元，进口新药注册费为59.39万元。申请一次性进口药品的，收取药品注册费0.20万元。《实施细则》明确，符合国务院规定的小微企业，提出治疗艾滋病、恶性肿瘤，且未在国内上市销售的从植物、动物、矿物等物质中提取的有效成份及其中药或天然药物制剂；未在国内外上市销售的通过合成或者半合成的方法制得的化学原料药及其制剂等创新药注册申请，免收新药注册费和创新药Ⅱ期或Ⅲ期临床试验补充申请注册费。</w:t>
      </w:r>
    </w:p>
    <w:p>
      <w:hyperlink r:id="rId75">
        <w:r>
          <w:rPr>
            <w:rStyle w:val="Link"/>
          </w:rPr>
          <w:t xml:space="preserve">来源</w:t>
        </w:r>
      </w:hyperlink>
      <w:r>
        <w:t xml:space="preserve"> </w:t>
      </w:r>
      <w:r>
        <w:t xml:space="preserve">(</w:t>
      </w:r>
      <w:hyperlink r:id="rId76">
        <w:r>
          <w:rPr>
            <w:rStyle w:val="Link"/>
          </w:rPr>
          <w:t xml:space="preserve">副本</w:t>
        </w:r>
      </w:hyperlink>
      <w:r>
        <w:t xml:space="preserve">)</w:t>
      </w:r>
    </w:p>
    <w:p>
      <w:pPr>
        <w:pStyle w:val="Heading2"/>
      </w:pPr>
      <w:bookmarkStart w:id="77" w:name="知识产权"/>
      <w:bookmarkEnd w:id="77"/>
      <w:r>
        <w:t xml:space="preserve">知识产权</w:t>
      </w:r>
    </w:p>
    <w:p>
      <w:pPr>
        <w:pStyle w:val="Heading3"/>
      </w:pPr>
      <w:bookmarkStart w:id="78" w:name="工商总局调整涉商标审批事项"/>
      <w:bookmarkEnd w:id="78"/>
      <w:r>
        <w:t xml:space="preserve">工商总局调整涉商标审批事项</w:t>
      </w:r>
    </w:p>
    <w:p>
      <w:r>
        <w:t xml:space="preserve">近日，工商总局发布《关于调整有关审批事项的公告》（下称《公告》），所涉商标等相关事项不再属于行政审批事项。</w:t>
      </w:r>
    </w:p>
    <w:p>
      <w:r>
        <w:t xml:space="preserve">根据《公告》，调整包括：1、商标注册由非行政许可审批事项调整为具有行政确认性质的事项；2、驰名商标认定由非行政许可审批事项调整为具有行政裁决性质的事项；3、特殊标志登记由非行政许可审批事项调整为具有行政确认性质的事项；4、特殊标志使用许可合同备案由非行政许可审批事项调整为具有行政确认性质的事项。《公告》明确，上述事项调整为其他权力事项后，不再属于行政审批事项，即日起从工商总局行政审批目录中删除。</w:t>
      </w:r>
    </w:p>
    <w:p>
      <w:hyperlink r:id="rId79">
        <w:r>
          <w:rPr>
            <w:rStyle w:val="Link"/>
          </w:rPr>
          <w:t xml:space="preserve">来源</w:t>
        </w:r>
      </w:hyperlink>
      <w:r>
        <w:t xml:space="preserve"> </w:t>
      </w:r>
      <w:r>
        <w:t xml:space="preserve">(</w:t>
      </w:r>
      <w:hyperlink r:id="rId80">
        <w:r>
          <w:rPr>
            <w:rStyle w:val="Link"/>
          </w:rPr>
          <w:t xml:space="preserve">副本</w:t>
        </w:r>
      </w:hyperlink>
      <w:r>
        <w:t xml:space="preserve">)</w:t>
      </w:r>
    </w:p>
    <w:p>
      <w:pPr>
        <w:pStyle w:val="Heading2"/>
      </w:pPr>
      <w:bookmarkStart w:id="81" w:name="并购"/>
      <w:bookmarkEnd w:id="81"/>
      <w:r>
        <w:t xml:space="preserve">并购</w:t>
      </w:r>
    </w:p>
    <w:p>
      <w:pPr>
        <w:pStyle w:val="Heading3"/>
      </w:pPr>
      <w:bookmarkStart w:id="82" w:name="紫金矿业定增百亿投资海外金铜矿"/>
      <w:bookmarkEnd w:id="82"/>
      <w:r>
        <w:t xml:space="preserve">紫金矿业定增百亿投资海外金铜矿</w:t>
      </w:r>
    </w:p>
    <w:p>
      <w:r>
        <w:t xml:space="preserve">紫金矿业5月27日披露定增预案，拟以不低于4.13元/股的价格，向至多10名特定对象非公开发行不超过24.21亿股，募集资金总额不超过100亿元，拟用于海外项目建设、海外收购及补充流动资金等。</w:t>
      </w:r>
    </w:p>
    <w:p>
      <w:r>
        <w:t xml:space="preserve">预案显示，募投项目刚果（金）科卢韦齐（Kolwezi）铜矿建设项目总投资35.29亿元，拟投入募集资金32.23亿元，项目建成后，年处理铜矿原矿石165万吨，年生产硫化铜精矿7212吨（含铜60%），通过火法冶炼年产粗铜43616吨（含铜90%），通过湿法冶炼年产电解铜8203吨。建成后年销售收入预计为3.19亿美元，年创造税后净利润约7813.90万美元。</w:t>
      </w:r>
    </w:p>
    <w:p>
      <w:hyperlink r:id="rId83">
        <w:r>
          <w:rPr>
            <w:rStyle w:val="Link"/>
          </w:rPr>
          <w:t xml:space="preserve">来源</w:t>
        </w:r>
      </w:hyperlink>
      <w:r>
        <w:t xml:space="preserve"> </w:t>
      </w:r>
      <w:r>
        <w:t xml:space="preserve">(</w:t>
      </w:r>
      <w:hyperlink r:id="rId84">
        <w:r>
          <w:rPr>
            <w:rStyle w:val="Link"/>
          </w:rPr>
          <w:t xml:space="preserve">副本</w:t>
        </w:r>
      </w:hyperlink>
      <w:r>
        <w:t xml:space="preserve">)</w:t>
      </w:r>
    </w:p>
    <w:p>
      <w:pPr>
        <w:pStyle w:val="Heading3"/>
      </w:pPr>
      <w:bookmarkStart w:id="85" w:name="高新兴12.88亿并购布局大安防"/>
      <w:bookmarkEnd w:id="85"/>
      <w:r>
        <w:t xml:space="preserve">高新兴12.88亿并购布局“大安防”</w:t>
      </w:r>
    </w:p>
    <w:p>
      <w:r>
        <w:t xml:space="preserve">高新兴5月28日披露重组预案，公司拟以发行股份及支付现金方式，合计作价12.88亿元收购创联电子100%股权、国迈科技90%股权，其中创联电子100%股权交易价格为11.08亿元，国迈科技90%股权交易价格为1.8亿元。公司拟以14.72元/股的价格发行7899.73万股并以现金1.25亿元，支付全部交易对价。</w:t>
      </w:r>
    </w:p>
    <w:p>
      <w:r>
        <w:t xml:space="preserve">此外，高新兴拟以16.32元/股的价格，向控股股东和实际控制人刘双广、易方达资管（员工持股计划二期）、平安大华（汇垠澳丰1号）、广发乾和、西藏硅谷天堂（恒兴1号）非公开发行股票募集配套资金不超过12亿元。其中刘双广认购金额为5.72亿元，员工持股计划二期认购1.48亿元。</w:t>
      </w:r>
    </w:p>
    <w:p>
      <w:hyperlink r:id="rId86">
        <w:r>
          <w:rPr>
            <w:rStyle w:val="Link"/>
          </w:rPr>
          <w:t xml:space="preserve">来源</w:t>
        </w:r>
      </w:hyperlink>
      <w:r>
        <w:t xml:space="preserve"> </w:t>
      </w:r>
      <w:r>
        <w:t xml:space="preserve">(</w:t>
      </w:r>
      <w:hyperlink r:id="rId87">
        <w:r>
          <w:rPr>
            <w:rStyle w:val="Link"/>
          </w:rPr>
          <w:t xml:space="preserve">副本</w:t>
        </w:r>
      </w:hyperlink>
      <w:r>
        <w:t xml:space="preserve">)</w:t>
      </w:r>
    </w:p>
    <w:p>
      <w:pPr>
        <w:pStyle w:val="Heading3"/>
      </w:pPr>
      <w:bookmarkStart w:id="88" w:name="康恩贝2.33亿控股珍诚医药"/>
      <w:bookmarkEnd w:id="88"/>
      <w:r>
        <w:t xml:space="preserve">康恩贝2.33亿控股珍诚医药</w:t>
      </w:r>
    </w:p>
    <w:p>
      <w:r>
        <w:t xml:space="preserve">康恩贝5月28日日公告，公司拟以2.33亿元现金收购和瑞控股、通联创投等合计15名交易对方持有的浙江珍诚医药在线股份有限公司26.44%的股份，布局药品电子商务营销。收购完成后，公司将合计持有珍诚医药57.25%的股份，为其第一大股东。</w:t>
      </w:r>
    </w:p>
    <w:p>
      <w:r>
        <w:t xml:space="preserve">据悉，珍诚医药是一家医药健康电子商务及渠道增值服务运营商，为首批获得医药分销B2B互联网药品交易服务资质的企业，拥有自主开发并运营的医药B2B电子商务平台“医药在线”（zc511.com）。</w:t>
      </w:r>
    </w:p>
    <w:p>
      <w:hyperlink r:id="rId89">
        <w:r>
          <w:rPr>
            <w:rStyle w:val="Link"/>
          </w:rPr>
          <w:t xml:space="preserve">来源</w:t>
        </w:r>
      </w:hyperlink>
      <w:r>
        <w:t xml:space="preserve"> </w:t>
      </w:r>
      <w:r>
        <w:t xml:space="preserve">(</w:t>
      </w:r>
      <w:hyperlink r:id="rId90">
        <w:r>
          <w:rPr>
            <w:rStyle w:val="Link"/>
          </w:rPr>
          <w:t xml:space="preserve">副本</w:t>
        </w:r>
      </w:hyperlink>
      <w:r>
        <w:t xml:space="preserve">)</w:t>
      </w:r>
    </w:p>
    <w:p>
      <w:pPr>
        <w:pStyle w:val="Heading3"/>
      </w:pPr>
      <w:bookmarkStart w:id="91" w:name="兴乐集团拿下st海龙控股权计划置入电线电缆资产"/>
      <w:bookmarkEnd w:id="91"/>
      <w:r>
        <w:t xml:space="preserve">兴乐集团拿下*ST海龙控股权计划置入电线电缆资产</w:t>
      </w:r>
    </w:p>
    <w:p>
      <w:r>
        <w:t xml:space="preserve">*ST海龙5月28日公告，近日控股股东中国恒天已与兴乐集团有限公司（简称“兴乐集团”）签订股份转让协议，中国恒天拟向后者转让公司股份2亿股，占公司总股本的23.15%，转让价格为5.19元/股，总价为10.38亿元。若上述转让完成后，公司控股股东将由中国恒天变更为兴乐集团，实际控制人将变更为虞文品。</w:t>
      </w:r>
    </w:p>
    <w:p>
      <w:r>
        <w:t xml:space="preserve">根据协议，上述股份转让协议签署之日起五个工作日内，兴乐集团应支付转让价款总额的30%，共计3.114亿元。同时双方确认并同意，于获得国务院国有资产监督管理委员会批复同意之日起10个工作日内，兴乐集团应支付完股份转让价款总额的70%。</w:t>
      </w:r>
    </w:p>
    <w:p>
      <w:hyperlink r:id="rId92">
        <w:r>
          <w:rPr>
            <w:rStyle w:val="Link"/>
          </w:rPr>
          <w:t xml:space="preserve">来源</w:t>
        </w:r>
      </w:hyperlink>
      <w:r>
        <w:t xml:space="preserve"> </w:t>
      </w:r>
      <w:r>
        <w:t xml:space="preserve">(</w:t>
      </w:r>
      <w:hyperlink r:id="rId93">
        <w:r>
          <w:rPr>
            <w:rStyle w:val="Link"/>
          </w:rPr>
          <w:t xml:space="preserve">副本</w:t>
        </w:r>
      </w:hyperlink>
      <w:r>
        <w:t xml:space="preserve">)</w:t>
      </w:r>
    </w:p>
    <w:p>
      <w:pPr>
        <w:pStyle w:val="Heading3"/>
      </w:pPr>
      <w:bookmarkStart w:id="94" w:name="康盛股份4.8亿收购控股股东新能源汽车零部件资产"/>
      <w:bookmarkEnd w:id="94"/>
      <w:r>
        <w:t xml:space="preserve">康盛股份4.8亿收购控股股东新能源汽车零部件资产</w:t>
      </w:r>
    </w:p>
    <w:p>
      <w:r>
        <w:t xml:space="preserve">康盛股份5月27日公告，拟收购控股股东陈汉康控制的浙江润成拥有的新能源汽车零部件资产，即收购成都联腾80%股权、荆州新动力100%股权、合肥卡诺100%股权，另向成都联腾自然人股东何勤、刘新分别收购其持有的剩余20%股权。</w:t>
      </w:r>
    </w:p>
    <w:p>
      <w:r>
        <w:t xml:space="preserve">本次交易总计作价为4.8亿元，收购完成后，成都联腾、荆州新动力、合肥卡诺将成为公司的全资子公司。</w:t>
      </w:r>
    </w:p>
    <w:p>
      <w:hyperlink r:id="rId95">
        <w:r>
          <w:rPr>
            <w:rStyle w:val="Link"/>
          </w:rPr>
          <w:t xml:space="preserve">来源</w:t>
        </w:r>
      </w:hyperlink>
      <w:r>
        <w:t xml:space="preserve"> </w:t>
      </w:r>
      <w:r>
        <w:t xml:space="preserve">(</w:t>
      </w:r>
      <w:hyperlink r:id="rId96">
        <w:r>
          <w:rPr>
            <w:rStyle w:val="Link"/>
          </w:rPr>
          <w:t xml:space="preserve">副本</w:t>
        </w:r>
      </w:hyperlink>
      <w:r>
        <w:t xml:space="preserve">)</w:t>
      </w:r>
    </w:p>
    <w:p>
      <w:pPr>
        <w:pStyle w:val="Heading3"/>
      </w:pPr>
      <w:bookmarkStart w:id="97" w:name="紫光股份募资225亿收购惠普旗下资产"/>
      <w:bookmarkEnd w:id="97"/>
      <w:r>
        <w:t xml:space="preserve">紫光股份募资225亿收购惠普旗下资产</w:t>
      </w:r>
    </w:p>
    <w:p>
      <w:r>
        <w:t xml:space="preserve">紫光股份5月26日披露定增方案，公司拟以26.51元/股的价格，非公开发行84873.63万股，募集资金总额不超过225亿元，拟用于收购惠普旗下资产香港华三51%股权、紫光数码44%股权、紫光软件49%股权，以及建设云计算机研究实验室暨大数据协同中心，和补充公司流动资金及偿还银行借款。</w:t>
      </w:r>
    </w:p>
    <w:p>
      <w:r>
        <w:t xml:space="preserve">根据方案，紫光股份此次发行对象及认购金额为：林芝清创(10亿元)、紫光通信(145亿元)、健坤爱清(3亿元)、同方计算机(8亿元)、上海华信(10亿元)、中加基金(20.9亿元)、国研天成(10亿元)、首期1号员工持股计划(5.35亿元)、首期2号员工持股计划(12.75亿元)。其中，林芝清创、紫光通信、健坤爱清、同方计算机为一致行动人。发行完成后，清华控股持股比例将由32.62%大幅增至64.66%。</w:t>
      </w:r>
    </w:p>
    <w:p>
      <w:hyperlink r:id="rId98">
        <w:r>
          <w:rPr>
            <w:rStyle w:val="Link"/>
          </w:rPr>
          <w:t xml:space="preserve">来源</w:t>
        </w:r>
      </w:hyperlink>
      <w:r>
        <w:t xml:space="preserve"> </w:t>
      </w:r>
      <w:r>
        <w:t xml:space="preserve">(</w:t>
      </w:r>
      <w:hyperlink r:id="rId99">
        <w:r>
          <w:rPr>
            <w:rStyle w:val="Link"/>
          </w:rPr>
          <w:t xml:space="preserve">副本</w:t>
        </w:r>
      </w:hyperlink>
      <w:r>
        <w:t xml:space="preserve">)</w:t>
      </w:r>
    </w:p>
    <w:p>
      <w:pPr>
        <w:pStyle w:val="Heading3"/>
      </w:pPr>
      <w:bookmarkStart w:id="100" w:name="青岛海尔获注48.7亿海外资产"/>
      <w:bookmarkEnd w:id="100"/>
      <w:r>
        <w:t xml:space="preserve">青岛海尔获注48.7亿海外资产</w:t>
      </w:r>
    </w:p>
    <w:p>
      <w:r>
        <w:t xml:space="preserve">青岛海尔5月26日公告，公司计划以全现金形式收购海尔（香港）投资有限公司持有的海尔新加坡投资控股有限公司100%股权，交易金额合计48.74亿元。</w:t>
      </w:r>
    </w:p>
    <w:p>
      <w:r>
        <w:t xml:space="preserve">海尔集团曾在2011年承诺，将在五年内向青岛海尔注入集团白色家电资产、业务和相关股权，全面解决同业竞争问题。此次交易完成后，除了尚处于资产整合阶段的斐雪派克相关资产外，青岛海尔将拥有海尔集团全部海外白电资产，海尔集团也将完全兑现承诺。</w:t>
      </w:r>
    </w:p>
    <w:p>
      <w:r>
        <w:t xml:space="preserve">截至2014年12月31日，此次收购标的新加坡投资控股经合并的资产总额为74.07亿元、净资产为27.52亿元，去年实现营业收入113.43亿元，净利润为3.66亿元。</w:t>
      </w:r>
    </w:p>
    <w:p>
      <w:hyperlink r:id="rId101">
        <w:r>
          <w:rPr>
            <w:rStyle w:val="Link"/>
          </w:rPr>
          <w:t xml:space="preserve">来源</w:t>
        </w:r>
      </w:hyperlink>
      <w:r>
        <w:t xml:space="preserve"> </w:t>
      </w:r>
      <w:r>
        <w:t xml:space="preserve">(</w:t>
      </w:r>
      <w:hyperlink r:id="rId102">
        <w:r>
          <w:rPr>
            <w:rStyle w:val="Link"/>
          </w:rPr>
          <w:t xml:space="preserve">副本</w:t>
        </w:r>
      </w:hyperlink>
      <w:r>
        <w:t xml:space="preserve">)</w:t>
      </w:r>
    </w:p>
    <w:p>
      <w:pPr>
        <w:pStyle w:val="Heading3"/>
      </w:pPr>
      <w:bookmarkStart w:id="103" w:name="友搏药业65亿借壳九芝堂"/>
      <w:bookmarkEnd w:id="103"/>
      <w:r>
        <w:t xml:space="preserve">友搏药业65亿借壳九芝堂</w:t>
      </w:r>
    </w:p>
    <w:p>
      <w:r>
        <w:t xml:space="preserve">九芝堂5月25日披露重组公告，公司拟以非公开发行股份方式收购李振国等持有的友搏药业100%股权，同时公司控股股东九芝堂集团拟以15亿元的价格向自然人李振国转让28.06%股份。上述交易完成后，李振国将成为公司控股股东，此次交易构成借壳上市。</w:t>
      </w:r>
    </w:p>
    <w:p>
      <w:r>
        <w:t xml:space="preserve">根据方案，友搏药业100%股权预估值为65.12亿元，公司拟以14.22元/股的价格，非公开发行合计45792.40万股用于支付全部交易对价。此外，九芝堂集团拟向李振国转让8350万股公司股份，占公司总股本的28.06%，股份转让价格确定为18元/股。据此计算，上述股权转让价格约15亿元。</w:t>
      </w:r>
    </w:p>
    <w:p>
      <w:hyperlink r:id="rId104">
        <w:r>
          <w:rPr>
            <w:rStyle w:val="Link"/>
          </w:rPr>
          <w:t xml:space="preserve">来源</w:t>
        </w:r>
      </w:hyperlink>
      <w:r>
        <w:t xml:space="preserve"> </w:t>
      </w:r>
      <w:r>
        <w:t xml:space="preserve">(</w:t>
      </w:r>
      <w:hyperlink r:id="rId105">
        <w:r>
          <w:rPr>
            <w:rStyle w:val="Link"/>
          </w:rPr>
          <w:t xml:space="preserve">副本</w:t>
        </w:r>
      </w:hyperlink>
      <w:r>
        <w:t xml:space="preserve">)</w:t>
      </w:r>
    </w:p>
    <w:p>
      <w:pPr>
        <w:pStyle w:val="Heading3"/>
      </w:pPr>
      <w:bookmarkStart w:id="106" w:name="中天科技22.5亿收购大股东旗下三公司"/>
      <w:bookmarkEnd w:id="106"/>
      <w:r>
        <w:t xml:space="preserve">中天科技22.5亿收购大股东旗下三公司</w:t>
      </w:r>
    </w:p>
    <w:p>
      <w:r>
        <w:t xml:space="preserve">中天科技5月25日发布资产收购预案，公司拟收购控股股东中天科技集团等持有的中天合金、中天宽带、江东金具三家公司100%股权，交易金额为22.49亿元，并募集配套资金6亿元。</w:t>
      </w:r>
    </w:p>
    <w:p>
      <w:r>
        <w:t xml:space="preserve">根据方案，上述标的资产交易金额为22.49亿元，按14.69元/股的发行价格计算，公司此次合计发行股份数量为1.53亿股。同时，公司拟以不低于16.46元/股的价格，向不超过10名特定投资者非公开发行不超过3645.2万股，募金6亿元，拟用于中天宽带4G智能电调天线研发及产业化项目、中天合金高精度无氧铜深加工技术改造项目、江东金具绝缘子、避雷器系列产品技改项目，以及补充三家标的公司的流动资金。</w:t>
      </w:r>
    </w:p>
    <w:p>
      <w:hyperlink r:id="rId107">
        <w:r>
          <w:rPr>
            <w:rStyle w:val="Link"/>
          </w:rPr>
          <w:t xml:space="preserve">来源</w:t>
        </w:r>
      </w:hyperlink>
      <w:r>
        <w:t xml:space="preserve"> </w:t>
      </w:r>
      <w:r>
        <w:t xml:space="preserve">(</w:t>
      </w:r>
      <w:hyperlink r:id="rId108">
        <w:r>
          <w:rPr>
            <w:rStyle w:val="Link"/>
          </w:rPr>
          <w:t xml:space="preserve">副本</w:t>
        </w:r>
      </w:hyperlink>
      <w:r>
        <w:t xml:space="preserve">)</w:t>
      </w:r>
    </w:p>
    <w:p>
      <w:pPr>
        <w:pStyle w:val="Heading3"/>
      </w:pPr>
      <w:bookmarkStart w:id="109" w:name="多氟多收购红星汽车"/>
      <w:bookmarkEnd w:id="109"/>
      <w:r>
        <w:t xml:space="preserve">多氟多收购红星汽车</w:t>
      </w:r>
    </w:p>
    <w:p>
      <w:r>
        <w:t xml:space="preserve">多氟多5月23日发布了关于签订合作协议书的公告，公司与邢台县龙冈投资有限公司、河北红星汽车制造有限公司、邢台县人民政府签订了《合作协议书》，拟通过收购股权和增资投资的方式控股红星汽车。</w:t>
      </w:r>
    </w:p>
    <w:p>
      <w:r>
        <w:t xml:space="preserve">依据《合作协议书》，多氟多将在六个月内通过股权收购及货币增资方式获得红星汽车的72.5%的股权，实现对红星汽车的控股。此外，公司还将规划在邢台县龙冈经济开发区投资建设以汽车制造四大工艺生产线及研发中心为主的红星汽车新基地，包括汽车、新能源电动车生产线。并根据红星汽车生产需要，择机规划在邢台县龙冈经济开发区配套建设动力锂电池生产线。</w:t>
      </w:r>
    </w:p>
    <w:p>
      <w:hyperlink r:id="rId110">
        <w:r>
          <w:rPr>
            <w:rStyle w:val="Link"/>
          </w:rPr>
          <w:t xml:space="preserve">来源</w:t>
        </w:r>
      </w:hyperlink>
      <w:r>
        <w:t xml:space="preserve"> </w:t>
      </w:r>
      <w:r>
        <w:t xml:space="preserve">(</w:t>
      </w:r>
      <w:hyperlink r:id="rId111">
        <w:r>
          <w:rPr>
            <w:rStyle w:val="Link"/>
          </w:rPr>
          <w:t xml:space="preserve">副本</w:t>
        </w:r>
      </w:hyperlink>
      <w:r>
        <w:t xml:space="preserve">)</w:t>
      </w:r>
    </w:p>
    <w:p>
      <w:pPr>
        <w:pStyle w:val="Heading2"/>
      </w:pPr>
      <w:bookmarkStart w:id="112" w:name="其他"/>
      <w:bookmarkEnd w:id="112"/>
      <w:r>
        <w:t xml:space="preserve">其他</w:t>
      </w:r>
    </w:p>
    <w:p>
      <w:pPr>
        <w:pStyle w:val="Heading3"/>
      </w:pPr>
      <w:bookmarkStart w:id="113" w:name="民用爆炸物品安全生产许可实施办法出台"/>
      <w:bookmarkEnd w:id="113"/>
      <w:r>
        <w:t xml:space="preserve">民用爆炸物品安全生产许可实施办法出台</w:t>
      </w:r>
    </w:p>
    <w:p>
      <w:r>
        <w:t xml:space="preserve">近日，工信部发布《民用爆炸物品安全生产许可实施办法》（《办法》），自2015年6月30日起施行。</w:t>
      </w:r>
    </w:p>
    <w:p>
      <w:r>
        <w:t xml:space="preserve">《办法》规定，取得《民用爆炸物品生产许可证》的企业，在基本建设完成后，依《办法》申请民用爆炸物品安全生产许可，否则不得从事相关生产活动。申请民用爆炸物品安全生产许可，应具备：1、取得相应的民用爆炸物品生产许可；2、具有健全的企业、车间、班组三级安全生产责任制以及完备的安全生产规章制度和操作规程；3、安全投入符合民用爆炸物品安全生产要求等共计14项条件。此外，根据《办法》，企业未获《民用爆炸物品安全生产许可证》擅自组织民用爆炸物品生产的，由省级主管部门责令停产，处10万以上50万以下罚款；构成犯罪的追究刑事责任。</w:t>
      </w:r>
    </w:p>
    <w:p>
      <w:hyperlink r:id="rId114">
        <w:r>
          <w:rPr>
            <w:rStyle w:val="Link"/>
          </w:rPr>
          <w:t xml:space="preserve">来源</w:t>
        </w:r>
      </w:hyperlink>
      <w:r>
        <w:t xml:space="preserve"> </w:t>
      </w:r>
      <w:r>
        <w:t xml:space="preserve">(</w:t>
      </w:r>
      <w:hyperlink r:id="rId115">
        <w:r>
          <w:rPr>
            <w:rStyle w:val="Link"/>
          </w:rPr>
          <w:t xml:space="preserve">副本</w:t>
        </w:r>
      </w:hyperlink>
      <w:r>
        <w:t xml:space="preserve">)</w:t>
      </w:r>
    </w:p>
    <w:p>
      <w:pPr>
        <w:pStyle w:val="Heading3"/>
      </w:pPr>
      <w:bookmarkStart w:id="116" w:name="最高检发布加强未成年人司法保护八项措施"/>
      <w:bookmarkEnd w:id="116"/>
      <w:r>
        <w:t xml:space="preserve">最高检发布加强未成年人司法保护八项措施</w:t>
      </w:r>
    </w:p>
    <w:p>
      <w:r>
        <w:t xml:space="preserve">5月27日，最高检发布《检察机关加强未成年人司法保护八项措施》（下称《八项措施》）。</w:t>
      </w:r>
    </w:p>
    <w:p>
      <w:r>
        <w:t xml:space="preserve">《八项措施》包括严厉惩处各类侵害未成年人的犯罪、努力保护救助未成年被害人、最大限度教育挽救涉罪未成年人、建立检察机关内部保护未成年人联动机制等。《八项措施》强调，依法保障未成年被害人及其法定代理人参与权、知情权等各项诉讼权利，保护未成年被害人的名誉权、隐私权等合法权利，避免在办案中造成“二次伤害”。坚持依法对涉罪未成年人“少捕慎诉少监禁”，落实专业化办理、法律援助、合适成年人到场、社会调查、亲情会见、附条件不起诉、社会观护、帮扶教育、犯罪记录封存等特殊保护制度，最大限度促进涉罪未成年人悔过自新、回归社会。</w:t>
      </w:r>
    </w:p>
    <w:p>
      <w:hyperlink r:id="rId117">
        <w:r>
          <w:rPr>
            <w:rStyle w:val="Link"/>
          </w:rPr>
          <w:t xml:space="preserve">来源</w:t>
        </w:r>
      </w:hyperlink>
      <w:r>
        <w:t xml:space="preserve"> </w:t>
      </w:r>
      <w:r>
        <w:t xml:space="preserve">(</w:t>
      </w:r>
      <w:hyperlink r:id="rId118">
        <w:r>
          <w:rPr>
            <w:rStyle w:val="Link"/>
          </w:rPr>
          <w:t xml:space="preserve">副本</w:t>
        </w:r>
      </w:hyperlink>
      <w:r>
        <w:t xml:space="preserve">)</w:t>
      </w:r>
    </w:p>
    <w:p>
      <w:pPr>
        <w:pStyle w:val="Heading3"/>
      </w:pPr>
      <w:bookmarkStart w:id="119" w:name="交通部修改船舶污染海洋环境应急防备和处置管理规定"/>
      <w:bookmarkEnd w:id="119"/>
      <w:r>
        <w:t xml:space="preserve">交通部修改船舶污染海洋环境应急防备和处置管理规定</w:t>
      </w:r>
    </w:p>
    <w:p>
      <w:r>
        <w:t xml:space="preserve">日前，交通运输部发布《关于修改〈中华人民共和国船舶污染海洋环境应急防备和应急处置管理规定〉的决定》（下称《决定》），自2015年5月12日起施行。</w:t>
      </w:r>
    </w:p>
    <w:p>
      <w:r>
        <w:t xml:space="preserve">《决定》将第十三条第一款修改为：“船舶污染清除单位是指具备相应污染清除能力，为船舶提供污染事故应急防备和应急处置服务的单位”。将第十四条修改为：“从事船舶污染清除的单位应当具备以下条件，并接受海事管理机构的监督检查：（一）应急清污能力符合《船舶污染清除单位应急清污能力要求》（见附件）的规定；（二）制定的污染清除作业方案符合防治船舶及其有关作业活动污染海洋环境的要求；（三）污染物处理方案符合国家有关防治污染规定。”将第十五条至第二十条删除等。</w:t>
      </w:r>
    </w:p>
    <w:p>
      <w:hyperlink r:id="rId120">
        <w:r>
          <w:rPr>
            <w:rStyle w:val="Link"/>
          </w:rPr>
          <w:t xml:space="preserve">来源</w:t>
        </w:r>
      </w:hyperlink>
      <w:r>
        <w:t xml:space="preserve"> </w:t>
      </w:r>
      <w:r>
        <w:t xml:space="preserve">(</w:t>
      </w:r>
      <w:hyperlink r:id="rId121">
        <w:r>
          <w:rPr>
            <w:rStyle w:val="Link"/>
          </w:rPr>
          <w:t xml:space="preserve">副本</w:t>
        </w:r>
      </w:hyperlink>
      <w:r>
        <w:t xml:space="preserve">)</w:t>
      </w:r>
    </w:p>
    <w:p>
      <w:pPr>
        <w:pStyle w:val="Heading3"/>
      </w:pPr>
      <w:bookmarkStart w:id="122" w:name="国家质检总局修改认证机构管理办法"/>
      <w:bookmarkEnd w:id="122"/>
      <w:r>
        <w:t xml:space="preserve">国家质检总局修改《认证机构管理办法》</w:t>
      </w:r>
    </w:p>
    <w:p>
      <w:r>
        <w:t xml:space="preserve">近日，国家质检总局发布《关于修改〈认证机构管理办法〉的决定》（下称《决定》），自2015年8月1日起施行。</w:t>
      </w:r>
    </w:p>
    <w:p>
      <w:r>
        <w:t xml:space="preserve">《决定》将《认证机构管理办法》第七条第一款修改为：“设立认证机构，应当依法取得法人资格，并经国家认监委批准后，方可从事批准范围内的认证活动。”将第十一条第一款中“4年”修改为“6年"；第二款中“有效期届满前90日”修改为“有效期届满30日前”；第三款中“复查”修改为“书面复查”。将第十六条修改为：“境外认证机构可以在中国境内设立从事其业务范围内的宣传和推广活动的代表机构”。此外，《决定》删除第十三条、第十四条、第五十一条等。《认证机构管理办法》根据本决定作相应修改，重新发布。</w:t>
      </w:r>
    </w:p>
    <w:p>
      <w:hyperlink r:id="rId123">
        <w:r>
          <w:rPr>
            <w:rStyle w:val="Link"/>
          </w:rPr>
          <w:t xml:space="preserve">来源</w:t>
        </w:r>
      </w:hyperlink>
      <w:r>
        <w:t xml:space="preserve"> </w:t>
      </w:r>
      <w:r>
        <w:t xml:space="preserve">(</w:t>
      </w:r>
      <w:hyperlink r:id="rId124">
        <w:r>
          <w:rPr>
            <w:rStyle w:val="Link"/>
          </w:rPr>
          <w:t xml:space="preserve">副本</w:t>
        </w:r>
      </w:hyperlink>
      <w:r>
        <w:t xml:space="preserve">)</w:t>
      </w:r>
    </w:p>
    <w:p>
      <w:pPr>
        <w:pStyle w:val="Heading3"/>
      </w:pPr>
      <w:bookmarkStart w:id="125" w:name="产品质量国家监督抽查不合格产品生产企业后处理工作规定发布"/>
      <w:bookmarkEnd w:id="125"/>
      <w:r>
        <w:t xml:space="preserve">产品质量国家监督抽查不合格产品生产企业后处理工作规定发布</w:t>
      </w:r>
    </w:p>
    <w:p>
      <w:r>
        <w:t xml:space="preserve">近日，质检总局发布《产品质量国家监督抽查不合格产品生产企业后处理工作规定》（下称《规定》），自2015年7月1日起施行。</w:t>
      </w:r>
    </w:p>
    <w:p>
      <w:r>
        <w:t xml:space="preserve">《规定》所称产品质量国家监督抽查不合格产品生产企业后处理，是指质量技术监督部门根据国抽结果，对不合格产品生产企业依法采取通报、责令整改、复查、公告、行政处罚、移送等行政措施的活动。根据《规定》，不合格产品生产企业确因不能正常生产而造成暂时不能进行整改的，应当提供有效证明，停止同类产品的生产，并在正常生产该类产品时，按要求进行整改并申请复查。企业在整改复查合格前，不得继续生产销售同一规格型号的产品。此外，经复查仍不合格的，后处理部门应当责令企业在30日内进行停业整顿。</w:t>
      </w:r>
    </w:p>
    <w:p>
      <w:hyperlink r:id="rId126">
        <w:r>
          <w:rPr>
            <w:rStyle w:val="Link"/>
          </w:rPr>
          <w:t xml:space="preserve">来源</w:t>
        </w:r>
      </w:hyperlink>
      <w:r>
        <w:t xml:space="preserve"> </w:t>
      </w:r>
      <w:r>
        <w:t xml:space="preserve">(</w:t>
      </w:r>
      <w:hyperlink r:id="rId127">
        <w:r>
          <w:rPr>
            <w:rStyle w:val="Link"/>
          </w:rPr>
          <w:t xml:space="preserve">副本</w:t>
        </w:r>
      </w:hyperlink>
      <w:r>
        <w:t xml:space="preserve">)</w:t>
      </w:r>
    </w:p>
    <w:p>
      <w:pPr>
        <w:pStyle w:val="Heading3"/>
      </w:pPr>
      <w:bookmarkStart w:id="128" w:name="工商总局下发通知落实推进先照后证改革"/>
      <w:bookmarkEnd w:id="128"/>
      <w:r>
        <w:t xml:space="preserve">工商总局下发通知落实推进先照后证改革</w:t>
      </w:r>
    </w:p>
    <w:p>
      <w:r>
        <w:t xml:space="preserve">近日，工商总局发布《关于严格落实先照后证改革严格执行工商登记前置审批事项的通知》（下称《通知》），同时公布了法律明确和国务院决定保留的34项工商登记前置审批目录和企业变更登记?注销登记前置审批指导目录?</w:t>
      </w:r>
    </w:p>
    <w:p>
      <w:r>
        <w:t xml:space="preserve">《通知》明确，对于法律、行政法规和国务院决定规定的改为登记后置审批的事项，一律不再作为登记前置，在办理工商登记时，不再要求申请人提交相关审批部门的许可文件、证件。企业办理工商登记后取得相关许可文件、证件的，应当在取得相关许可文件、证件之日起20个工作日内自行在企业信用信息公示系统上公示。此外，工商总局将实施《工商登记前置审批事项目录》动态管理。</w:t>
      </w:r>
    </w:p>
    <w:p>
      <w:hyperlink r:id="rId129">
        <w:r>
          <w:rPr>
            <w:rStyle w:val="Link"/>
          </w:rPr>
          <w:t xml:space="preserve">来源</w:t>
        </w:r>
      </w:hyperlink>
      <w:r>
        <w:t xml:space="preserve"> </w:t>
      </w:r>
      <w:r>
        <w:t xml:space="preserve">(</w:t>
      </w:r>
      <w:hyperlink r:id="rId130">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131">
        <w:r>
          <w:rPr>
            <w:rStyle w:val="Link"/>
          </w:rPr>
          <w:t xml:space="preserve">unsubscribe@charltonslaw.com</w:t>
        </w:r>
      </w:hyperlink>
    </w:p>
    <w:p>
      <w:r>
        <w:rPr>
          <w:b/>
        </w:rPr>
        <w:t xml:space="preserve">易周律师行 - 法讯 - 中国 - 第457期 - 2015年05月29日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c267a8d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4" Target="10.pdf" TargetMode="External" /><Relationship Type="http://schemas.openxmlformats.org/officeDocument/2006/relationships/hyperlink" Id="rId57" Target="11.pdf" TargetMode="External" /><Relationship Type="http://schemas.openxmlformats.org/officeDocument/2006/relationships/hyperlink" Id="rId61" Target="12.pdf" TargetMode="External" /><Relationship Type="http://schemas.openxmlformats.org/officeDocument/2006/relationships/hyperlink" Id="rId64" Target="13.pdf" TargetMode="External" /><Relationship Type="http://schemas.openxmlformats.org/officeDocument/2006/relationships/hyperlink" Id="rId67" Target="14.pdf" TargetMode="External" /><Relationship Type="http://schemas.openxmlformats.org/officeDocument/2006/relationships/hyperlink" Id="rId70" Target="15.pdf" TargetMode="External" /><Relationship Type="http://schemas.openxmlformats.org/officeDocument/2006/relationships/hyperlink" Id="rId73" Target="16.pdf" TargetMode="External" /><Relationship Type="http://schemas.openxmlformats.org/officeDocument/2006/relationships/hyperlink" Id="rId76" Target="17.pdf" TargetMode="External" /><Relationship Type="http://schemas.openxmlformats.org/officeDocument/2006/relationships/hyperlink" Id="rId80" Target="18.pdf" TargetMode="External" /><Relationship Type="http://schemas.openxmlformats.org/officeDocument/2006/relationships/hyperlink" Id="rId84" Target="19.pdf" TargetMode="External" /><Relationship Type="http://schemas.openxmlformats.org/officeDocument/2006/relationships/hyperlink" Id="rId29" Target="2.pdf" TargetMode="External" /><Relationship Type="http://schemas.openxmlformats.org/officeDocument/2006/relationships/hyperlink" Id="rId87" Target="20.pdf" TargetMode="External" /><Relationship Type="http://schemas.openxmlformats.org/officeDocument/2006/relationships/hyperlink" Id="rId90" Target="21.pdf" TargetMode="External" /><Relationship Type="http://schemas.openxmlformats.org/officeDocument/2006/relationships/hyperlink" Id="rId93" Target="22.pdf" TargetMode="External" /><Relationship Type="http://schemas.openxmlformats.org/officeDocument/2006/relationships/hyperlink" Id="rId96" Target="23.pdf" TargetMode="External" /><Relationship Type="http://schemas.openxmlformats.org/officeDocument/2006/relationships/hyperlink" Id="rId99" Target="24.pdf" TargetMode="External" /><Relationship Type="http://schemas.openxmlformats.org/officeDocument/2006/relationships/hyperlink" Id="rId102" Target="25.pdf" TargetMode="External" /><Relationship Type="http://schemas.openxmlformats.org/officeDocument/2006/relationships/hyperlink" Id="rId105" Target="26.pdf" TargetMode="External" /><Relationship Type="http://schemas.openxmlformats.org/officeDocument/2006/relationships/hyperlink" Id="rId108" Target="27.pdf" TargetMode="External" /><Relationship Type="http://schemas.openxmlformats.org/officeDocument/2006/relationships/hyperlink" Id="rId111" Target="28.pdf" TargetMode="External" /><Relationship Type="http://schemas.openxmlformats.org/officeDocument/2006/relationships/hyperlink" Id="rId115" Target="29.pdf" TargetMode="External" /><Relationship Type="http://schemas.openxmlformats.org/officeDocument/2006/relationships/hyperlink" Id="rId32" Target="3.pdf" TargetMode="External" /><Relationship Type="http://schemas.openxmlformats.org/officeDocument/2006/relationships/hyperlink" Id="rId118" Target="30.pdf" TargetMode="External" /><Relationship Type="http://schemas.openxmlformats.org/officeDocument/2006/relationships/hyperlink" Id="rId121" Target="31.pdf" TargetMode="External" /><Relationship Type="http://schemas.openxmlformats.org/officeDocument/2006/relationships/hyperlink" Id="rId124" Target="32.pdf" TargetMode="External" /><Relationship Type="http://schemas.openxmlformats.org/officeDocument/2006/relationships/hyperlink" Id="rId127" Target="33.pdf" TargetMode="External" /><Relationship Type="http://schemas.openxmlformats.org/officeDocument/2006/relationships/hyperlink" Id="rId130" Target="34.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7" Target="8.pdf" TargetMode="External" /><Relationship Type="http://schemas.openxmlformats.org/officeDocument/2006/relationships/hyperlink" Id="rId51" Target="9.pdf" TargetMode="External" /><Relationship Type="http://schemas.openxmlformats.org/officeDocument/2006/relationships/hyperlink" Id="rId104" Target="http://epaper.stcn.com/paper/zqsb/html/2015-05/25/content_693105.htm" TargetMode="External" /><Relationship Type="http://schemas.openxmlformats.org/officeDocument/2006/relationships/hyperlink" Id="rId107" Target="http://epaper.stcn.com/paper/zqsb/html/2015-05/25/content_693108.htm" TargetMode="External" /><Relationship Type="http://schemas.openxmlformats.org/officeDocument/2006/relationships/hyperlink" Id="rId110" Target="http://epaper.stcn.com/paper/zqsb/html/2015-05/25/content_693115.htm" TargetMode="External" /><Relationship Type="http://schemas.openxmlformats.org/officeDocument/2006/relationships/hyperlink" Id="rId98" Target="http://epaper.stcn.com/paper/zqsb/html/2015-05/26/content_693552.htm" TargetMode="External" /><Relationship Type="http://schemas.openxmlformats.org/officeDocument/2006/relationships/hyperlink" Id="rId101" Target="http://epaper.stcn.com/paper/zqsb/html/2015-05/26/content_693553.htm" TargetMode="External" /><Relationship Type="http://schemas.openxmlformats.org/officeDocument/2006/relationships/hyperlink" Id="rId83" Target="http://epaper.stcn.com/paper/zqsb/html/2015-05/27/content_693931.htm" TargetMode="External" /><Relationship Type="http://schemas.openxmlformats.org/officeDocument/2006/relationships/hyperlink" Id="rId95" Target="http://epaper.stcn.com/paper/zqsb/html/2015-05/27/content_693934.htm" TargetMode="External" /><Relationship Type="http://schemas.openxmlformats.org/officeDocument/2006/relationships/hyperlink" Id="rId89" Target="http://epaper.stcn.com/paper/zqsb/html/epaper/index/content_694568.htm" TargetMode="External" /><Relationship Type="http://schemas.openxmlformats.org/officeDocument/2006/relationships/hyperlink" Id="rId92" Target="http://epaper.stcn.com/paper/zqsb/html/epaper/index/content_694572.htm" TargetMode="External" /><Relationship Type="http://schemas.openxmlformats.org/officeDocument/2006/relationships/hyperlink" Id="rId86" Target="http://epaper.stcn.com/paper/zqsb/html/epaper/index/content_694605.htm" TargetMode="External" /><Relationship Type="http://schemas.openxmlformats.org/officeDocument/2006/relationships/hyperlink" Id="rId117" Target="http://gjwft.jcrb.com/2015/5y/wcn/zbzy/201505/t20150527_1510341.shtml" TargetMode="External" /><Relationship Type="http://schemas.openxmlformats.org/officeDocument/2006/relationships/hyperlink" Id="rId50" Target="http://gss.mof.gov.cn/zhengwuxinxi/zhengcefabu/201505/t20150525_1240116.html" TargetMode="External" /><Relationship Type="http://schemas.openxmlformats.org/officeDocument/2006/relationships/hyperlink" Id="rId66" Target="http://nys.mof.gov.cn/zhengfuxinxi/czpjZhengCeFaBu_2_2/201505/t20150522_1237664.html" TargetMode="External" /><Relationship Type="http://schemas.openxmlformats.org/officeDocument/2006/relationships/hyperlink" Id="rId126" Target="http://www.aqsiq.gov.cn/xxgk_13386/jlgg_12538/zjgg/2015/201505/t20150521_440048.htm" TargetMode="External" /><Relationship Type="http://schemas.openxmlformats.org/officeDocument/2006/relationships/hyperlink" Id="rId123" Target="http://www.aqsiq.gov.cn/xxgk_13386/jlgg_12538/zjl/2015/201505/t20150521_440047.htm" TargetMode="External" /><Relationship Type="http://schemas.openxmlformats.org/officeDocument/2006/relationships/hyperlink" Id="rId21" Target="http://www.charltonslaw.com.cn/china-news-alerts-cn-issue-457/" TargetMode="External" /><Relationship Type="http://schemas.openxmlformats.org/officeDocument/2006/relationships/hyperlink" Id="rId31" Target="http://www.chinaclear.cn/zdjs/gszb/201505/b968384d5e27451e92e8d206bef381bc.shtml" TargetMode="External" /><Relationship Type="http://schemas.openxmlformats.org/officeDocument/2006/relationships/hyperlink" Id="rId53" Target="http://www.chinatax.gov.cn/n810341/n810755/c1625779/content.html" TargetMode="External" /><Relationship Type="http://schemas.openxmlformats.org/officeDocument/2006/relationships/hyperlink" Id="rId56" Target="http://www.chinatax.gov.cn/n810341/n810755/c1625803/content.html" TargetMode="External" /><Relationship Type="http://schemas.openxmlformats.org/officeDocument/2006/relationships/hyperlink" Id="rId37" Target="http://www.csrc.gov.cn/pub/newsite/zjhxwfb/xwdd/201505/t20150522_277636.html" TargetMode="External" /><Relationship Type="http://schemas.openxmlformats.org/officeDocument/2006/relationships/hyperlink" Id="rId40" Target="http://www.csrc.gov.cn/pub/zjhpublic/G00306201/201505/t20150522_277651.htm" TargetMode="External" /><Relationship Type="http://schemas.openxmlformats.org/officeDocument/2006/relationships/hyperlink" Id="rId46" Target="http://www.gov.cn/zhengce/content/2015-05/22/content_9797.htm" TargetMode="External" /><Relationship Type="http://schemas.openxmlformats.org/officeDocument/2006/relationships/hyperlink" Id="rId114" Target="http://www.miit.gov.cn/n11293472/n11293832/n12843926/n13917012/16610402.html" TargetMode="External" /><Relationship Type="http://schemas.openxmlformats.org/officeDocument/2006/relationships/hyperlink" Id="rId63" Target="http://www.miit.gov.cn/n11293472/n11293832/n12845605/n13916898/16606530.html" TargetMode="External" /><Relationship Type="http://schemas.openxmlformats.org/officeDocument/2006/relationships/hyperlink" Id="rId120" Target="http://www.moc.gov.cn/zfxxgk/bnssj/zcfgs/201505/t20150525_1823222.html" TargetMode="External" /><Relationship Type="http://schemas.openxmlformats.org/officeDocument/2006/relationships/hyperlink" Id="rId43" Target="http://www.mof.gov.cn/zhengwuxinxi/zhengcefabu/201505/t20150522_1237946.htm" TargetMode="External" /><Relationship Type="http://schemas.openxmlformats.org/officeDocument/2006/relationships/hyperlink" Id="rId69" Target="http://www.mof.gov.cn/zhengwuxinxi/zhengcefabu/201505/t20150528_1242763.htm" TargetMode="External" /><Relationship Type="http://schemas.openxmlformats.org/officeDocument/2006/relationships/hyperlink" Id="rId25" Target="http://www.pbc.gov.cn/publish/tiaofasi/584/2015/20150526171141095886130/20150526171141095886130_.html" TargetMode="External" /><Relationship Type="http://schemas.openxmlformats.org/officeDocument/2006/relationships/hyperlink" Id="rId79" Target="http://www.saic.gov.cn/zwgk/zyfb/zjwj/bgt_1/201505/t20150528_156805.html" TargetMode="External" /><Relationship Type="http://schemas.openxmlformats.org/officeDocument/2006/relationships/hyperlink" Id="rId129" Target="http://www.saic.gov.cn/zwgk/zyfb/zjwj/qyzcj/201505/t20150521_156612.html" TargetMode="External" /><Relationship Type="http://schemas.openxmlformats.org/officeDocument/2006/relationships/hyperlink" Id="rId75" Target="http://www.sda.gov.cn/WS01/CL0087/120201.html" TargetMode="External" /><Relationship Type="http://schemas.openxmlformats.org/officeDocument/2006/relationships/hyperlink" Id="rId28" Target="http://www.sdpc.gov.cn/gzdt/201505/t20150527_693622.html" TargetMode="External" /><Relationship Type="http://schemas.openxmlformats.org/officeDocument/2006/relationships/hyperlink" Id="rId72" Target="http://www.sdpc.gov.cn/zcfb/zcfbtz/201505/t20150527_693694.html" TargetMode="External" /><Relationship Type="http://schemas.openxmlformats.org/officeDocument/2006/relationships/hyperlink" Id="rId34" Target="http://www.sse.com.cn/aboutus/hotandd/ssenews/c/c_20150522_3929752.shtml" TargetMode="External" /><Relationship Type="http://schemas.openxmlformats.org/officeDocument/2006/relationships/hyperlink" Id="rId60" Target="http://zhengwu.beijing.gov.cn/gzdt/gggs/t1389918.htm" TargetMode="External" /><Relationship Type="http://schemas.openxmlformats.org/officeDocument/2006/relationships/hyperlink" Id="rId131"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4" Target="10.pdf" TargetMode="External" /><Relationship Type="http://schemas.openxmlformats.org/officeDocument/2006/relationships/hyperlink" Id="rId57" Target="11.pdf" TargetMode="External" /><Relationship Type="http://schemas.openxmlformats.org/officeDocument/2006/relationships/hyperlink" Id="rId61" Target="12.pdf" TargetMode="External" /><Relationship Type="http://schemas.openxmlformats.org/officeDocument/2006/relationships/hyperlink" Id="rId64" Target="13.pdf" TargetMode="External" /><Relationship Type="http://schemas.openxmlformats.org/officeDocument/2006/relationships/hyperlink" Id="rId67" Target="14.pdf" TargetMode="External" /><Relationship Type="http://schemas.openxmlformats.org/officeDocument/2006/relationships/hyperlink" Id="rId70" Target="15.pdf" TargetMode="External" /><Relationship Type="http://schemas.openxmlformats.org/officeDocument/2006/relationships/hyperlink" Id="rId73" Target="16.pdf" TargetMode="External" /><Relationship Type="http://schemas.openxmlformats.org/officeDocument/2006/relationships/hyperlink" Id="rId76" Target="17.pdf" TargetMode="External" /><Relationship Type="http://schemas.openxmlformats.org/officeDocument/2006/relationships/hyperlink" Id="rId80" Target="18.pdf" TargetMode="External" /><Relationship Type="http://schemas.openxmlformats.org/officeDocument/2006/relationships/hyperlink" Id="rId84" Target="19.pdf" TargetMode="External" /><Relationship Type="http://schemas.openxmlformats.org/officeDocument/2006/relationships/hyperlink" Id="rId29" Target="2.pdf" TargetMode="External" /><Relationship Type="http://schemas.openxmlformats.org/officeDocument/2006/relationships/hyperlink" Id="rId87" Target="20.pdf" TargetMode="External" /><Relationship Type="http://schemas.openxmlformats.org/officeDocument/2006/relationships/hyperlink" Id="rId90" Target="21.pdf" TargetMode="External" /><Relationship Type="http://schemas.openxmlformats.org/officeDocument/2006/relationships/hyperlink" Id="rId93" Target="22.pdf" TargetMode="External" /><Relationship Type="http://schemas.openxmlformats.org/officeDocument/2006/relationships/hyperlink" Id="rId96" Target="23.pdf" TargetMode="External" /><Relationship Type="http://schemas.openxmlformats.org/officeDocument/2006/relationships/hyperlink" Id="rId99" Target="24.pdf" TargetMode="External" /><Relationship Type="http://schemas.openxmlformats.org/officeDocument/2006/relationships/hyperlink" Id="rId102" Target="25.pdf" TargetMode="External" /><Relationship Type="http://schemas.openxmlformats.org/officeDocument/2006/relationships/hyperlink" Id="rId105" Target="26.pdf" TargetMode="External" /><Relationship Type="http://schemas.openxmlformats.org/officeDocument/2006/relationships/hyperlink" Id="rId108" Target="27.pdf" TargetMode="External" /><Relationship Type="http://schemas.openxmlformats.org/officeDocument/2006/relationships/hyperlink" Id="rId111" Target="28.pdf" TargetMode="External" /><Relationship Type="http://schemas.openxmlformats.org/officeDocument/2006/relationships/hyperlink" Id="rId115" Target="29.pdf" TargetMode="External" /><Relationship Type="http://schemas.openxmlformats.org/officeDocument/2006/relationships/hyperlink" Id="rId32" Target="3.pdf" TargetMode="External" /><Relationship Type="http://schemas.openxmlformats.org/officeDocument/2006/relationships/hyperlink" Id="rId118" Target="30.pdf" TargetMode="External" /><Relationship Type="http://schemas.openxmlformats.org/officeDocument/2006/relationships/hyperlink" Id="rId121" Target="31.pdf" TargetMode="External" /><Relationship Type="http://schemas.openxmlformats.org/officeDocument/2006/relationships/hyperlink" Id="rId124" Target="32.pdf" TargetMode="External" /><Relationship Type="http://schemas.openxmlformats.org/officeDocument/2006/relationships/hyperlink" Id="rId127" Target="33.pdf" TargetMode="External" /><Relationship Type="http://schemas.openxmlformats.org/officeDocument/2006/relationships/hyperlink" Id="rId130" Target="34.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7" Target="8.pdf" TargetMode="External" /><Relationship Type="http://schemas.openxmlformats.org/officeDocument/2006/relationships/hyperlink" Id="rId51" Target="9.pdf" TargetMode="External" /><Relationship Type="http://schemas.openxmlformats.org/officeDocument/2006/relationships/hyperlink" Id="rId104" Target="http://epaper.stcn.com/paper/zqsb/html/2015-05/25/content_693105.htm" TargetMode="External" /><Relationship Type="http://schemas.openxmlformats.org/officeDocument/2006/relationships/hyperlink" Id="rId107" Target="http://epaper.stcn.com/paper/zqsb/html/2015-05/25/content_693108.htm" TargetMode="External" /><Relationship Type="http://schemas.openxmlformats.org/officeDocument/2006/relationships/hyperlink" Id="rId110" Target="http://epaper.stcn.com/paper/zqsb/html/2015-05/25/content_693115.htm" TargetMode="External" /><Relationship Type="http://schemas.openxmlformats.org/officeDocument/2006/relationships/hyperlink" Id="rId98" Target="http://epaper.stcn.com/paper/zqsb/html/2015-05/26/content_693552.htm" TargetMode="External" /><Relationship Type="http://schemas.openxmlformats.org/officeDocument/2006/relationships/hyperlink" Id="rId101" Target="http://epaper.stcn.com/paper/zqsb/html/2015-05/26/content_693553.htm" TargetMode="External" /><Relationship Type="http://schemas.openxmlformats.org/officeDocument/2006/relationships/hyperlink" Id="rId83" Target="http://epaper.stcn.com/paper/zqsb/html/2015-05/27/content_693931.htm" TargetMode="External" /><Relationship Type="http://schemas.openxmlformats.org/officeDocument/2006/relationships/hyperlink" Id="rId95" Target="http://epaper.stcn.com/paper/zqsb/html/2015-05/27/content_693934.htm" TargetMode="External" /><Relationship Type="http://schemas.openxmlformats.org/officeDocument/2006/relationships/hyperlink" Id="rId89" Target="http://epaper.stcn.com/paper/zqsb/html/epaper/index/content_694568.htm" TargetMode="External" /><Relationship Type="http://schemas.openxmlformats.org/officeDocument/2006/relationships/hyperlink" Id="rId92" Target="http://epaper.stcn.com/paper/zqsb/html/epaper/index/content_694572.htm" TargetMode="External" /><Relationship Type="http://schemas.openxmlformats.org/officeDocument/2006/relationships/hyperlink" Id="rId86" Target="http://epaper.stcn.com/paper/zqsb/html/epaper/index/content_694605.htm" TargetMode="External" /><Relationship Type="http://schemas.openxmlformats.org/officeDocument/2006/relationships/hyperlink" Id="rId117" Target="http://gjwft.jcrb.com/2015/5y/wcn/zbzy/201505/t20150527_1510341.shtml" TargetMode="External" /><Relationship Type="http://schemas.openxmlformats.org/officeDocument/2006/relationships/hyperlink" Id="rId50" Target="http://gss.mof.gov.cn/zhengwuxinxi/zhengcefabu/201505/t20150525_1240116.html" TargetMode="External" /><Relationship Type="http://schemas.openxmlformats.org/officeDocument/2006/relationships/hyperlink" Id="rId66" Target="http://nys.mof.gov.cn/zhengfuxinxi/czpjZhengCeFaBu_2_2/201505/t20150522_1237664.html" TargetMode="External" /><Relationship Type="http://schemas.openxmlformats.org/officeDocument/2006/relationships/hyperlink" Id="rId126" Target="http://www.aqsiq.gov.cn/xxgk_13386/jlgg_12538/zjgg/2015/201505/t20150521_440048.htm" TargetMode="External" /><Relationship Type="http://schemas.openxmlformats.org/officeDocument/2006/relationships/hyperlink" Id="rId123" Target="http://www.aqsiq.gov.cn/xxgk_13386/jlgg_12538/zjl/2015/201505/t20150521_440047.htm" TargetMode="External" /><Relationship Type="http://schemas.openxmlformats.org/officeDocument/2006/relationships/hyperlink" Id="rId21" Target="http://www.charltonslaw.com.cn/china-news-alerts-cn-issue-457/" TargetMode="External" /><Relationship Type="http://schemas.openxmlformats.org/officeDocument/2006/relationships/hyperlink" Id="rId31" Target="http://www.chinaclear.cn/zdjs/gszb/201505/b968384d5e27451e92e8d206bef381bc.shtml" TargetMode="External" /><Relationship Type="http://schemas.openxmlformats.org/officeDocument/2006/relationships/hyperlink" Id="rId53" Target="http://www.chinatax.gov.cn/n810341/n810755/c1625779/content.html" TargetMode="External" /><Relationship Type="http://schemas.openxmlformats.org/officeDocument/2006/relationships/hyperlink" Id="rId56" Target="http://www.chinatax.gov.cn/n810341/n810755/c1625803/content.html" TargetMode="External" /><Relationship Type="http://schemas.openxmlformats.org/officeDocument/2006/relationships/hyperlink" Id="rId37" Target="http://www.csrc.gov.cn/pub/newsite/zjhxwfb/xwdd/201505/t20150522_277636.html" TargetMode="External" /><Relationship Type="http://schemas.openxmlformats.org/officeDocument/2006/relationships/hyperlink" Id="rId40" Target="http://www.csrc.gov.cn/pub/zjhpublic/G00306201/201505/t20150522_277651.htm" TargetMode="External" /><Relationship Type="http://schemas.openxmlformats.org/officeDocument/2006/relationships/hyperlink" Id="rId46" Target="http://www.gov.cn/zhengce/content/2015-05/22/content_9797.htm" TargetMode="External" /><Relationship Type="http://schemas.openxmlformats.org/officeDocument/2006/relationships/hyperlink" Id="rId114" Target="http://www.miit.gov.cn/n11293472/n11293832/n12843926/n13917012/16610402.html" TargetMode="External" /><Relationship Type="http://schemas.openxmlformats.org/officeDocument/2006/relationships/hyperlink" Id="rId63" Target="http://www.miit.gov.cn/n11293472/n11293832/n12845605/n13916898/16606530.html" TargetMode="External" /><Relationship Type="http://schemas.openxmlformats.org/officeDocument/2006/relationships/hyperlink" Id="rId120" Target="http://www.moc.gov.cn/zfxxgk/bnssj/zcfgs/201505/t20150525_1823222.html" TargetMode="External" /><Relationship Type="http://schemas.openxmlformats.org/officeDocument/2006/relationships/hyperlink" Id="rId43" Target="http://www.mof.gov.cn/zhengwuxinxi/zhengcefabu/201505/t20150522_1237946.htm" TargetMode="External" /><Relationship Type="http://schemas.openxmlformats.org/officeDocument/2006/relationships/hyperlink" Id="rId69" Target="http://www.mof.gov.cn/zhengwuxinxi/zhengcefabu/201505/t20150528_1242763.htm" TargetMode="External" /><Relationship Type="http://schemas.openxmlformats.org/officeDocument/2006/relationships/hyperlink" Id="rId25" Target="http://www.pbc.gov.cn/publish/tiaofasi/584/2015/20150526171141095886130/20150526171141095886130_.html" TargetMode="External" /><Relationship Type="http://schemas.openxmlformats.org/officeDocument/2006/relationships/hyperlink" Id="rId79" Target="http://www.saic.gov.cn/zwgk/zyfb/zjwj/bgt_1/201505/t20150528_156805.html" TargetMode="External" /><Relationship Type="http://schemas.openxmlformats.org/officeDocument/2006/relationships/hyperlink" Id="rId129" Target="http://www.saic.gov.cn/zwgk/zyfb/zjwj/qyzcj/201505/t20150521_156612.html" TargetMode="External" /><Relationship Type="http://schemas.openxmlformats.org/officeDocument/2006/relationships/hyperlink" Id="rId75" Target="http://www.sda.gov.cn/WS01/CL0087/120201.html" TargetMode="External" /><Relationship Type="http://schemas.openxmlformats.org/officeDocument/2006/relationships/hyperlink" Id="rId28" Target="http://www.sdpc.gov.cn/gzdt/201505/t20150527_693622.html" TargetMode="External" /><Relationship Type="http://schemas.openxmlformats.org/officeDocument/2006/relationships/hyperlink" Id="rId72" Target="http://www.sdpc.gov.cn/zcfb/zcfbtz/201505/t20150527_693694.html" TargetMode="External" /><Relationship Type="http://schemas.openxmlformats.org/officeDocument/2006/relationships/hyperlink" Id="rId34" Target="http://www.sse.com.cn/aboutus/hotandd/ssenews/c/c_20150522_3929752.shtml" TargetMode="External" /><Relationship Type="http://schemas.openxmlformats.org/officeDocument/2006/relationships/hyperlink" Id="rId60" Target="http://zhengwu.beijing.gov.cn/gzdt/gggs/t1389918.htm" TargetMode="External" /><Relationship Type="http://schemas.openxmlformats.org/officeDocument/2006/relationships/hyperlink" Id="rId131"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第457期 - 2015年05月29日</dc:title>
  <dc:creator/>
</cp:coreProperties>
</file>