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第465期</w:t>
      </w:r>
      <w:r>
        <w:t xml:space="preserve"> </w:t>
      </w:r>
      <w:r>
        <w:t xml:space="preserve">-</w:t>
      </w:r>
      <w:r>
        <w:t xml:space="preserve"> </w:t>
      </w:r>
      <w:r>
        <w:t xml:space="preserve">2015年07月25日</w:t>
      </w:r>
    </w:p>
    <w:p>
      <w:hyperlink r:id="rId21">
        <w:r>
          <w:rPr>
            <w:rStyle w:val="Link"/>
          </w:rPr>
          <w:t xml:space="preserve">网络版</w:t>
        </w:r>
      </w:hyperlink>
    </w:p>
    <w:p>
      <w:pPr>
        <w:pStyle w:val="Heading1"/>
      </w:pPr>
      <w:bookmarkStart w:id="22" w:name="法讯中国第465期"/>
      <w:bookmarkEnd w:id="22"/>
      <w:r>
        <w:t xml:space="preserve">法讯中国第465期</w:t>
      </w:r>
    </w:p>
    <w:p>
      <w:pPr>
        <w:pStyle w:val="Heading2"/>
      </w:pPr>
      <w:bookmarkStart w:id="23" w:name="资本市场"/>
      <w:bookmarkEnd w:id="23"/>
      <w:r>
        <w:t xml:space="preserve">资本市场</w:t>
      </w:r>
    </w:p>
    <w:p>
      <w:pPr>
        <w:pStyle w:val="Heading3"/>
      </w:pPr>
      <w:bookmarkStart w:id="24" w:name="中国结算修订特殊机构及产品证券账户业务指南"/>
      <w:bookmarkEnd w:id="24"/>
      <w:r>
        <w:t xml:space="preserve">中国结算修订特殊机构及产品证券账户业务指南</w:t>
      </w:r>
    </w:p>
    <w:p>
      <w:r>
        <w:t xml:space="preserve">中国证券登记结算有限责任公司日前发布了修订后的《中国证券登记结算有限责任公司特殊机构及产品证券账户业务指南》（下称《指南》）。</w:t>
      </w:r>
    </w:p>
    <w:p>
      <w:r>
        <w:t xml:space="preserve">根据修订后的《指南》，开户申请人申请开立特殊机构及产品证券账户的，应补充提交证券账户自律管理承诺书，承诺严格遵守账户实名制有关要求，承诺不在该账户下设立子账户、分账户、虚拟账户，不出借证券账户给他人使用等。同时，开户申请人为产品申请开户的，还应提供相关资产管理人、资产托管人取得相应证券资产管理、托管业务资格的证明文件。此外，在特殊机构及产品证券账户使用环节，账户持有人不得通过在证券账户下设立子账户、分账户、虚拟账户等方式违规进行证券交易；不得出借证券账户给他人使用。</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2"/>
      </w:pPr>
      <w:bookmarkStart w:id="27" w:name="保险"/>
      <w:bookmarkEnd w:id="27"/>
      <w:r>
        <w:t xml:space="preserve">保险</w:t>
      </w:r>
    </w:p>
    <w:p>
      <w:pPr>
        <w:pStyle w:val="Heading3"/>
      </w:pPr>
      <w:bookmarkStart w:id="28" w:name="保监会与天津市政府联合发文支持天津自贸区建设"/>
      <w:bookmarkEnd w:id="28"/>
      <w:r>
        <w:t xml:space="preserve">保监会与天津市政府联合发文支持天津自贸区建设</w:t>
      </w:r>
    </w:p>
    <w:p>
      <w:r>
        <w:t xml:space="preserve">近日，中国保监会、天津市政府发布《关于加强保险业服务天津自贸试验区建设和京津冀协同发展等重大国家战略的意见》（下称《意见》）。</w:t>
      </w:r>
    </w:p>
    <w:p>
      <w:r>
        <w:t xml:space="preserve">《意见》提出要创新保险体制机制。鼓励境内外航运保险和保险经纪等专业服务机构落户自贸试验区，加快设立航运保险协会；进一步加强保险市场建设，支持各类保险公司在自贸试验区设立专业保险机构；探索开展人民币跨境再保险业务，培育发展再保险市场，建立区域再保险中心；支持保险机构开展境外投资试点。《意见》还明确要深化保险资金和业务改革，鼓励保险机构以股权、基金、债权等形式投资交通、地铁等重点项目；支持保险机构以多种方式参与天津地下管网、垃圾处理、城市配电等基础设施建设等。</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2"/>
      </w:pPr>
      <w:bookmarkStart w:id="31" w:name="行业"/>
      <w:bookmarkEnd w:id="31"/>
      <w:r>
        <w:t xml:space="preserve">行业</w:t>
      </w:r>
    </w:p>
    <w:p>
      <w:pPr>
        <w:pStyle w:val="Heading3"/>
      </w:pPr>
      <w:bookmarkStart w:id="32" w:name="工信部制发高强度紧固件行业规范条件"/>
      <w:bookmarkEnd w:id="32"/>
      <w:r>
        <w:t xml:space="preserve">工信部制发《高强度紧固件行业规范条件》</w:t>
      </w:r>
    </w:p>
    <w:p>
      <w:r>
        <w:t xml:space="preserve">日前，工信部发布《高强度紧固件行业规范条件》（下称《规范条件》），自2015年9月1日起实施。</w:t>
      </w:r>
    </w:p>
    <w:p>
      <w:r>
        <w:t xml:space="preserve">《规范条件》包括建设条件和布局、生产工艺及装备、环境保护等七部分内容。其中，在建设条件和布局方面，《规范条件》规定，依法设立的风景名胜区、自然保护区和水源地范围内的紧固件企业申请规范公告不予受理；新（扩）建紧固件企业应通过“建设项目环境影响评价审批”、“节能评估”及“安全预评价”，并通过项目环境保护和职业健康安全防护设施“三同时”验收。在环保方面，《规范条件》确立，企业环保工作应防治结合，积极开展清洁化生产，对生产过程中产生的噪声、粉尘等采取有效的治理措施，要符合环保法律法规要求，依法获得排污许可证等。</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十部委出台意见促进互联网金融健康发展"/>
      <w:bookmarkEnd w:id="35"/>
      <w:r>
        <w:t xml:space="preserve">十部委出台意见促进互联网金融健康发展</w:t>
      </w:r>
    </w:p>
    <w:p>
      <w:r>
        <w:t xml:space="preserve">近日，央行等十部委发布《关于促进互联网金融健康发展的指导意见》（下称《意见》）。</w:t>
      </w:r>
    </w:p>
    <w:p>
      <w:r>
        <w:t xml:space="preserve">《意见》提出了一系列鼓励创新、支持互联网金融稳步发展的政策措施，积极鼓励互联网金融平台、产品和服务创新，鼓励从业机构相互合作，拓宽从业机构融资渠道，坚持简政放权和落实、完善财税政等。《意见》明确，网络借贷包括个体网络借贷（即P2P网络借贷）和网络小额贷款。其中，个体网络借贷机构要明确信息中介性质，主要为借贷双方的直接借贷提供信息服务，不得提供增信服务，不得非法集资。《意见》还确立了股权众筹融资、互联网基金销售、互联网保险、互联网信托和互联网消费金融等互联网金融主要业态的监管职责分工，落实了监管责任，明确了业务边界。</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国办印发支持戏曲传承发展若干政策"/>
      <w:bookmarkEnd w:id="38"/>
      <w:r>
        <w:t xml:space="preserve">国办印发支持戏曲传承发展若干政策</w:t>
      </w:r>
    </w:p>
    <w:p>
      <w:r>
        <w:t xml:space="preserve">日前，国务院办公厅下发《关于支持戏曲传承发展的若干政策》（下称《政策》）。</w:t>
      </w:r>
    </w:p>
    <w:p>
      <w:r>
        <w:t xml:space="preserve">《政策》包括总体要求、加强戏曲保护与传承、改善戏曲生产条件、支持戏曲艺术表演团体发展等九部分。其中，在支持戏曲艺术表演团体发展方面，《政策》提出“落实税费优惠政策”、“鼓励和引导社会力量支持戏曲表演团体”等四项内容。落实暂免征收部分小微企业增值税和营业税、小型微利企业所得税优惠，免征部分小微企业教育费附加、残疾人就业保障金等各项已出台的税费优惠政策，支持符合条件的小型微型戏曲艺术表演团体发展。同时，鼓励和引导企业、社会团体或个人通过兴办实体等形式参与扶持地方戏曲的传承发展。</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其他"/>
      <w:bookmarkEnd w:id="41"/>
      <w:r>
        <w:t xml:space="preserve">其他</w:t>
      </w:r>
    </w:p>
    <w:p>
      <w:pPr>
        <w:pStyle w:val="Heading3"/>
      </w:pPr>
      <w:bookmarkStart w:id="42" w:name="最高法出台关于限制被执行人高消费及有关消费的若干规定"/>
      <w:bookmarkEnd w:id="42"/>
      <w:r>
        <w:t xml:space="preserve">最高法出台《关于限制被执行人高消费及有关消费的若干规定》</w:t>
      </w:r>
    </w:p>
    <w:p>
      <w:r>
        <w:t xml:space="preserve">最高法日前发布《关于修改〈最高人民法院关于限制被执行人高消费的若干规定〉的决定》（下称《决定》），自2015年7月22日起施行。</w:t>
      </w:r>
    </w:p>
    <w:p>
      <w:r>
        <w:t xml:space="preserve">《决定》将《最高人民法院关于限制被执行人高消费的若干规定》（下称《规定》）修改为：“《最高人民法院关于限制被执行人高消费及有关消费的若干规定》”。《决定》将《规定》第一条修改为：“被执行人未按执行通知书指定的期间履行生效法律文书确定的给付义务的，人民法院可以采取限制消费措施，限制其高消费及非生活或者经营必需的有关消费。”第一条增加第二款：“纳入失信被执行人名单的被执行人，人民法院应当对其采取限制消费措施。”《决定》还对第五条、第六条、第七条等进行了相应修改。</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最高法出台司法解释规范拒不执行判决裁定刑事案件审理"/>
      <w:bookmarkEnd w:id="45"/>
      <w:r>
        <w:t xml:space="preserve">最高法出台司法解释规范拒不执行判决、裁定刑事案件审理</w:t>
      </w:r>
    </w:p>
    <w:p>
      <w:r>
        <w:t xml:space="preserve">最高法日前发布《关于审理拒不执行判决、裁定刑事案件适用法律若干问题的解释》（下称《解释》），自2015年7月22日起施行。</w:t>
      </w:r>
    </w:p>
    <w:p>
      <w:r>
        <w:t xml:space="preserve">《解释》共八条，进一步明确了刑法规定的“情节严重”的具体情形，规定负有义务的人有能力执行而实施八项行为之一的，应当认定为全国人大常委会关于刑法第三百一十三条的解释中规定的“其他有能力执行而拒不执行，情节严重的情形”。《解释》还明确了酌定处罚情节的适用条件。规定拒不执行判决、裁定的被告人在一审宣告判决前，履行全部或部分执行义务的，可以酌情从宽处罚。同时，拒不执行支付赡养费、扶养费、抚育费、抚恤金、医疗费用、劳动报酬等判决、裁定的，可以酌情从重处罚。</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环保部公布环境保护公众参与办法"/>
      <w:bookmarkEnd w:id="48"/>
      <w:r>
        <w:t xml:space="preserve">环保部公布《环境保护公众参与办法》</w:t>
      </w:r>
    </w:p>
    <w:p>
      <w:r>
        <w:t xml:space="preserve">日前，环保部对外公布《环境保护公众参与办法》（下称《办法》），自2015年9月1日起施行。</w:t>
      </w:r>
    </w:p>
    <w:p>
      <w:r>
        <w:t xml:space="preserve">《办法》适用于公民、法人和其他组织参与制定政策法规、实施行政许可或行政处罚、监督违法行为、开展宣传教育等环保公共事务活动。根据《办法》，环保主管部门可通过征求意见、问卷调查，组织召开座谈会、专家论证会、听证会等方式征求意见和建议。同时，《办法》规定，法律法规规定应当听证的事项，环保部门应向社会公告，并举行听证。除涉及国家秘密、商业秘密或个人隐私外，听证应公开举行。《办法》强调，环保部门支持和鼓励公民、法人和其他组织对环保公共事务进行监督。环保部门可通过项目资助、购买服务等方式，支持、引导社会组织参与环保活动。</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国家级区域规划管理暂行办法印发"/>
      <w:bookmarkEnd w:id="51"/>
      <w:r>
        <w:t xml:space="preserve">《国家级区域规划管理暂行办法》印发</w:t>
      </w:r>
    </w:p>
    <w:p>
      <w:r>
        <w:t xml:space="preserve">近日，国家发改委印发《国家级区域规划管理暂行办法》（下称《办法》），自发布之日起施行。</w:t>
      </w:r>
    </w:p>
    <w:p>
      <w:r>
        <w:t xml:space="preserve">《办法》共六章，包括总则、立项管理、规划编制、审批实施、评估修订、附则。《办法》明确，国家级区域规划的规划期，根据规划区域特点和发展需要合理确定，原则上不少于五年。同时，国家级区域规划应当列入年度审批计划管理。根据形势变化需要编制未列入年度审批计划的国家级区域规划，国务院发展改革部门应当单独请示国务院，补充列入年度审批计划。《办法》强调，国家级区域规划编制单位可采取多种形式广泛征求社会各界意见，提高规划编制的公开性和透明度。除涉及国家秘密的外，规划编制部门应当公布规划草案或者举行听证会，听取公众意见。</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最高检印发关于实行检察官以案释法制度的规定试行"/>
      <w:bookmarkEnd w:id="54"/>
      <w:r>
        <w:t xml:space="preserve">最高检印发《关于实行检察官以案释法制度的规定（试行）》</w:t>
      </w:r>
    </w:p>
    <w:p>
      <w:r>
        <w:t xml:space="preserve">最高检日前印发《最高人民检察院关于实行检察官以案释法制度的规定（试行）》（下称《规定》），对检察官以案释法工作的原则、方式、内容、责任等进行明确规范。</w:t>
      </w:r>
    </w:p>
    <w:p>
      <w:r>
        <w:t xml:space="preserve">《规定》指出，检察官以案释法，是指检察官结合检察机关办理的案件，围绕案件事实、证据、程序和法律适用等问题进行释法说理、开展法治宣传教育等活动。检察官以案释法包括向当事人等诉讼参与人以案释法和向社会公众以案释法。《规定》提出，对具有广泛社会影响或较大争议、可能引发上访或社会群体事件、具有预防职务犯罪效果等六类案件向社会公众以案释法。此外，检察官以案释法，不得泄露国家秘密、商业秘密以及其他依照法律法规和检察工作规定不得公开的信息。</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财政部发文加强中央部门预算评审工作"/>
      <w:bookmarkEnd w:id="57"/>
      <w:r>
        <w:t xml:space="preserve">财政部发文加强中央部门预算评审工作</w:t>
      </w:r>
    </w:p>
    <w:p>
      <w:r>
        <w:t xml:space="preserve">日前，财政部下发《关于加强中央部门预算评审工作的通知》（下称《通知》）。</w:t>
      </w:r>
    </w:p>
    <w:p>
      <w:r>
        <w:t xml:space="preserve">《通知》强调“预算评审是加强和改进预算管理的重要手段”，提出充分发挥预算评审中心职能作用总体思路。同时，《通知》确立了重点工作的内容，包括“划分预算评审范围”、“明确预算评审内容”等八项。其中，《通知》明确预算评审范围为财政部项目库中拟纳入年度预算安排的项目和预算执行中拟追加预算的项目；每年新增项目中拟纳入预算安排的重大项目、财政专项安排的基本建设项目、专业性强或技术复杂的项目优先纳入预算评审范围；暂不纳入评审范围的项目是：已确定立项且按规定的支出标准和要求测算的项目、涉密程度较高不宜评审项目、预算需求在500万元以内项目。</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0">
        <w:r>
          <w:rPr>
            <w:rStyle w:val="Link"/>
          </w:rPr>
          <w:t xml:space="preserve">unsubscribe@charltonslaw.com</w:t>
        </w:r>
      </w:hyperlink>
    </w:p>
    <w:p>
      <w:r>
        <w:rPr>
          <w:b/>
        </w:rPr>
        <w:t xml:space="preserve">易周律师行 - 法讯 - 中国 - 第465期 - 2015年07月25日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cd0e73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30" Target="2.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21" Target="http://www.charltonslaw.com.cn/china-news-alerts-cn-issue-465/" TargetMode="External" /><Relationship Type="http://schemas.openxmlformats.org/officeDocument/2006/relationships/hyperlink" Id="rId25" Target="http://www.chinaclear.cn/zdjs/gszb/201507/913f040cb87248b69241a55783400f68.shtml" TargetMode="External" /><Relationship Type="http://schemas.openxmlformats.org/officeDocument/2006/relationships/hyperlink" Id="rId29" Target="http://www.circ.gov.cn/web/site0/tab5168/info3967757.htm" TargetMode="External" /><Relationship Type="http://schemas.openxmlformats.org/officeDocument/2006/relationships/hyperlink" Id="rId46" Target="http://www.court.gov.cn/fabu-xiangqing-15045.html" TargetMode="External" /><Relationship Type="http://schemas.openxmlformats.org/officeDocument/2006/relationships/hyperlink" Id="rId43" Target="http://www.court.gov.cn/fabu-xiangqing-15046.html" TargetMode="External" /><Relationship Type="http://schemas.openxmlformats.org/officeDocument/2006/relationships/hyperlink" Id="rId39" Target="http://www.gov.cn/zhengce/content/2015-07/17/content_10010.htm" TargetMode="External" /><Relationship Type="http://schemas.openxmlformats.org/officeDocument/2006/relationships/hyperlink" Id="rId33" Target="http://www.miit.gov.cn/n11293472/n11293832/n12845605/n13916898/16749634.html" TargetMode="External" /><Relationship Type="http://schemas.openxmlformats.org/officeDocument/2006/relationships/hyperlink" Id="rId36" Target="http://www.pbc.gov.cn/publish/goutongjiaoliu/524/2015/20150718104243894831567/20150718104243894831567_.html" TargetMode="External" /><Relationship Type="http://schemas.openxmlformats.org/officeDocument/2006/relationships/hyperlink" Id="rId52" Target="http://www.sdpc.gov.cn/gzdt/201507/t20150720_738352.html" TargetMode="External" /><Relationship Type="http://schemas.openxmlformats.org/officeDocument/2006/relationships/hyperlink" Id="rId55" Target="http://www.spp.gov.cn/xwfbh/wsfbt/201507/t20150720_101608_1.shtml" TargetMode="External" /><Relationship Type="http://schemas.openxmlformats.org/officeDocument/2006/relationships/hyperlink" Id="rId49" Target="http://www.zhb.gov.cn/gkml/hbb/bl/201507/t20150720_306928.htm" TargetMode="External" /><Relationship Type="http://schemas.openxmlformats.org/officeDocument/2006/relationships/hyperlink" Id="rId58" Target="http://yss.mof.gov.cn/zhengwuxinxi/zhengceguizhang/201507/t20150717_1331752.html" TargetMode="External" /><Relationship Type="http://schemas.openxmlformats.org/officeDocument/2006/relationships/hyperlink" Id="rId6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30" Target="2.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21" Target="http://www.charltonslaw.com.cn/china-news-alerts-cn-issue-465/" TargetMode="External" /><Relationship Type="http://schemas.openxmlformats.org/officeDocument/2006/relationships/hyperlink" Id="rId25" Target="http://www.chinaclear.cn/zdjs/gszb/201507/913f040cb87248b69241a55783400f68.shtml" TargetMode="External" /><Relationship Type="http://schemas.openxmlformats.org/officeDocument/2006/relationships/hyperlink" Id="rId29" Target="http://www.circ.gov.cn/web/site0/tab5168/info3967757.htm" TargetMode="External" /><Relationship Type="http://schemas.openxmlformats.org/officeDocument/2006/relationships/hyperlink" Id="rId46" Target="http://www.court.gov.cn/fabu-xiangqing-15045.html" TargetMode="External" /><Relationship Type="http://schemas.openxmlformats.org/officeDocument/2006/relationships/hyperlink" Id="rId43" Target="http://www.court.gov.cn/fabu-xiangqing-15046.html" TargetMode="External" /><Relationship Type="http://schemas.openxmlformats.org/officeDocument/2006/relationships/hyperlink" Id="rId39" Target="http://www.gov.cn/zhengce/content/2015-07/17/content_10010.htm" TargetMode="External" /><Relationship Type="http://schemas.openxmlformats.org/officeDocument/2006/relationships/hyperlink" Id="rId33" Target="http://www.miit.gov.cn/n11293472/n11293832/n12845605/n13916898/16749634.html" TargetMode="External" /><Relationship Type="http://schemas.openxmlformats.org/officeDocument/2006/relationships/hyperlink" Id="rId36" Target="http://www.pbc.gov.cn/publish/goutongjiaoliu/524/2015/20150718104243894831567/20150718104243894831567_.html" TargetMode="External" /><Relationship Type="http://schemas.openxmlformats.org/officeDocument/2006/relationships/hyperlink" Id="rId52" Target="http://www.sdpc.gov.cn/gzdt/201507/t20150720_738352.html" TargetMode="External" /><Relationship Type="http://schemas.openxmlformats.org/officeDocument/2006/relationships/hyperlink" Id="rId55" Target="http://www.spp.gov.cn/xwfbh/wsfbt/201507/t20150720_101608_1.shtml" TargetMode="External" /><Relationship Type="http://schemas.openxmlformats.org/officeDocument/2006/relationships/hyperlink" Id="rId49" Target="http://www.zhb.gov.cn/gkml/hbb/bl/201507/t20150720_306928.htm" TargetMode="External" /><Relationship Type="http://schemas.openxmlformats.org/officeDocument/2006/relationships/hyperlink" Id="rId58" Target="http://yss.mof.gov.cn/zhengwuxinxi/zhengceguizhang/201507/t20150717_1331752.html" TargetMode="External" /><Relationship Type="http://schemas.openxmlformats.org/officeDocument/2006/relationships/hyperlink" Id="rId6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第465期 - 2015年07月25日</dc:title>
  <dc:creator/>
</cp:coreProperties>
</file>