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第468期</w:t>
      </w:r>
      <w:r>
        <w:t xml:space="preserve"> </w:t>
      </w:r>
      <w:r>
        <w:t xml:space="preserve">-</w:t>
      </w:r>
      <w:r>
        <w:t xml:space="preserve"> </w:t>
      </w:r>
      <w:r>
        <w:t xml:space="preserve">2015年08月21日</w:t>
      </w:r>
    </w:p>
    <w:p>
      <w:hyperlink r:id="rId21">
        <w:r>
          <w:rPr>
            <w:rStyle w:val="Link"/>
          </w:rPr>
          <w:t xml:space="preserve">网络版</w:t>
        </w:r>
      </w:hyperlink>
    </w:p>
    <w:p>
      <w:pPr>
        <w:pStyle w:val="Heading1"/>
      </w:pPr>
      <w:bookmarkStart w:id="22" w:name="中国法讯第468期"/>
      <w:bookmarkEnd w:id="22"/>
      <w:r>
        <w:t xml:space="preserve">中国法讯第468期</w:t>
      </w:r>
    </w:p>
    <w:p>
      <w:pPr>
        <w:pStyle w:val="Heading2"/>
      </w:pPr>
      <w:bookmarkStart w:id="23" w:name="保险"/>
      <w:bookmarkEnd w:id="23"/>
      <w:r>
        <w:t xml:space="preserve">保险</w:t>
      </w:r>
    </w:p>
    <w:p>
      <w:pPr>
        <w:pStyle w:val="Heading3"/>
      </w:pPr>
      <w:bookmarkStart w:id="24" w:name="中国保监会部署保险机构开展保险案件问责整改及警示教育专项清理工作"/>
      <w:bookmarkEnd w:id="24"/>
      <w:r>
        <w:t xml:space="preserve">中国保监会部署保险机构开展保险案件问责整改及警示教育专项清理工作</w:t>
      </w:r>
    </w:p>
    <w:p>
      <w:r>
        <w:t xml:space="preserve">近日，中国保监会印发《关于清理保险案件问责整改及警示教育工作情况的通知》（简称《通知》）。</w:t>
      </w:r>
    </w:p>
    <w:p>
      <w:r>
        <w:t xml:space="preserve">根据《通知》，此次清理的案件范围为2012年1月1日至2014年12月31日期间发现的业内刑事案件。主要清理内容包括保险机构是否完成案件问责、保险机构是否完成问题整改等。同时，《通知》要求，各保险机构要逐案梳理案件问责、问题整改、警示教育情况，做到边自查边自纠；清理期间发现未完成案件问责、问题整改或警示教育的，应限期补充完成；要按照有关要求向中国保监会报送自查报告及自纠报告。此外，《通知》还强调，各保监局要逐案审核保险机构清理工作的真实性和规范性，督促保险机构纠正发现的问题，并对保险机构清理工作开展抽查。</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保监会取消和调整一批行政审批事项"/>
      <w:bookmarkEnd w:id="27"/>
      <w:r>
        <w:t xml:space="preserve">中国保监会取消和调整一批行政审批事项</w:t>
      </w:r>
    </w:p>
    <w:p>
      <w:r>
        <w:t xml:space="preserve">近日，中国保监会发布《关于取消和调整一批行政审批事项的通知》（简称《通知》）。</w:t>
      </w:r>
    </w:p>
    <w:p>
      <w:r>
        <w:t xml:space="preserve">根据《通知》，取消“保险机构在境外设立代表机构审批”“保险代理机构动用保证金审批”“保险经纪机构动用保证金审批”“保险专业代理机构分立、合并、变更组织形式、设立分支机构及解散退出审批”“保险经纪机构分立、合并、变更组织形式、设立分支机构及解散退出审批”“保险销售从业人员资格核准”及“保险经纪从业人员资格核准”等7项行政审批事项。并且将“保险代理机构设立审批”“保险经纪机构设立审批”等2项修改为工商登记后置审批。此外，《通知》还明确中国保监会及各保监局不得受理已取消项目的申请。</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保监会发布关于保险中介从业人员管理有关问题的通知"/>
      <w:bookmarkEnd w:id="30"/>
      <w:r>
        <w:t xml:space="preserve">中国保监会发布关于保险中介从业人员管理有关问题的通知</w:t>
      </w:r>
    </w:p>
    <w:p>
      <w:r>
        <w:t xml:space="preserve">近日，中国保监会发布《关于保险中介从业人员管理有关问题的通知》（简称《通知》）。</w:t>
      </w:r>
    </w:p>
    <w:p>
      <w:r>
        <w:t xml:space="preserve">《通知》明确，各保监局不得受理保险销售（含保险代理）、保险经纪从业人员资格核准审批事项。同时，废止《关于保险公估从业人员资格考试有关工作的通知》（保监中介〔2014〕74号），不再委托中国保险行业协会组织保险公估从业人员资格考试。《通知》规定，保险中介从业人员执业前，所属公司应当为其在中国保监会保险中介监管信息系统进行执业登记，资格证书不作为执业登记管理的必要条件。此外，《通知》还强调保险公司、保险中介机构应当规范从业人员准入管理，认真对从业人员进行甄选，加强专业培训，确保从业人员品行良好，具有相应的专业能力。</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收"/>
      <w:bookmarkEnd w:id="33"/>
      <w:r>
        <w:t xml:space="preserve">税收</w:t>
      </w:r>
    </w:p>
    <w:p>
      <w:pPr>
        <w:pStyle w:val="Heading3"/>
      </w:pPr>
      <w:bookmarkStart w:id="34" w:name="国税总局发文落实国务院办公厅关于促进进出口稳定增长的若干意见"/>
      <w:bookmarkEnd w:id="34"/>
      <w:r>
        <w:t xml:space="preserve">国税总局发文落实《国务院办公厅关于促进进出口稳定增长的若干意见》</w:t>
      </w:r>
    </w:p>
    <w:p>
      <w:r>
        <w:t xml:space="preserve">近日，国税总局发布《关于贯彻落实〈国务院办公厅关于促进进出口稳定增长的若干意见〉的通知》（下称《通知》）。</w:t>
      </w:r>
    </w:p>
    <w:p>
      <w:r>
        <w:t xml:space="preserve">《通知》从“进一步加快出口退税进度，确保及时足额退税”、“进一步抓好出口退税政策及管理规定的落实”、“持续优化出口退税服务”、“进一步加强出口退税预警评估工作，严格审核，严密防范和打击骗取出口退税违法行为”四个方面确保发挥发挥出口退税的职能作用。其中，在抓好出口退税政策及管理规定的落实方面，《通知》提出，认真落实外贸综合服务企业税收政策，发挥外贸综合服务企业提供出口服务的优势，支持中小企业有效开拓国际市场；积极落实跨境电子商务企业税收政策,密切关注跨境电子商务企业出口退税情况，探索创新出口退税管理机制等。</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两部门发文明确石油石化企业办社会支出有关企业所得税政策"/>
      <w:bookmarkEnd w:id="37"/>
      <w:r>
        <w:t xml:space="preserve">两部门发文明确石油石化企业办社会支出有关企业所得税政策</w:t>
      </w:r>
    </w:p>
    <w:p>
      <w:r>
        <w:t xml:space="preserve">近日，财政部、国税总局发布《关于石油石化企业办社会支出有关企业所得税政策的通知》（《通知》），执行期限为自2014年1月1日至2018年12月31日。</w:t>
      </w:r>
    </w:p>
    <w:p>
      <w:r>
        <w:t xml:space="preserve">《通知》规定，中国石油天然气集团公司（石油集团）、中国石油化工集团公司（石化集团）所属企业通过关联交易形式从其对应的中国石油天然气股份有限公司、中国石油化工股份有限公司所属分公司及上述集团公司和股份公司所属子公司取得的用于市政、公交、环卫、非义务教育、医疗、消防、自有供暖、社区管理等社会性支出资金，应作为企业的收入计入当期应纳税所得额。石油集团、石化集团所属企业发生的用于市政、公交、环卫、非义务教育、医疗、消防、自有供暖、社区管理等社会性支出，可在当期计算应纳税所得额时据实扣除。</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商务部国资委联合印发关于进一步做好行业信用评价工作的意见"/>
      <w:bookmarkEnd w:id="41"/>
      <w:r>
        <w:t xml:space="preserve">商务部、国资委联合印发关于进一步做好行业信用评价工作的意见</w:t>
      </w:r>
    </w:p>
    <w:p>
      <w:r>
        <w:t xml:space="preserve">近日，商务部、国资委联合印发《关于进一步做好行业信用评价工作的意见》（简称《意见》）。</w:t>
      </w:r>
    </w:p>
    <w:p>
      <w:r>
        <w:t xml:space="preserve">《意见》指出，行业协会商会应发挥行业信用管理的主体作用，不断完善行业信用监管体制，打造行业信用管理平台，培育行业诚信文化。《意见》强调，行业协会商会、第三方信用服务机构和会员企业在行业信用评价工作中应主动接受社会监督，着力营造参与各方相互监督、共同促进的社会共治局面。此外，《意见》对参评行业协会商会资质考察以及会员企业信用评价结果核查的标准及流程做了进一步完善。一旦发现存在违规失信行为的协会商会，将注销其参评资质；发现存在违规失信行为的A级以上备案企业，将责令协会商会撤销其信用等级。</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务院发布改革药品医疗器械审评审批制度意见"/>
      <w:bookmarkEnd w:id="44"/>
      <w:r>
        <w:t xml:space="preserve">国务院发布改革药品医疗器械审评审批制度意见</w:t>
      </w:r>
    </w:p>
    <w:p>
      <w:r>
        <w:t xml:space="preserve">近日，国务院发布《关于改革药品医疗器械审评审批制度的意见》（简称《意见》）。</w:t>
      </w:r>
    </w:p>
    <w:p>
      <w:r>
        <w:t xml:space="preserve">根据《意见》，将药品分为新药和仿制药。将新药由现行的“未曾在中国境内上市销售的药品”调整为“未在中国境内外上市销售的药品”。将仿制药由现行的“仿已有国家标准的药品”调整为“仿与原研药品质量和疗效一致的药品”。同时，《意见》要求，对已经批准上市的仿制药，按与原研药品质量和疗效一致的原则，分期分批进行质量一致性评价。药品生产企业应将其产品按照规定的方法与参比制剂进行质量一致性评价，并向食品药品监管总局报送评价结果。此外，《意见》还从创新药审评审批、药品审批程序、药品临床试验审批、保障措施等方面做了规定。</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配电变压器能效提升计划印发"/>
      <w:bookmarkEnd w:id="47"/>
      <w:r>
        <w:t xml:space="preserve">《配电变压器能效提升计划》印发</w:t>
      </w:r>
    </w:p>
    <w:p>
      <w:r>
        <w:t xml:space="preserve">日前，工信部等三部门制发《配电变压器能效提升计划（2015-2017年）》（《计划》）。</w:t>
      </w:r>
    </w:p>
    <w:p>
      <w:r>
        <w:t xml:space="preserve">《计划》提出，到2017年底，初步完成高耗能配电变压器的升级改造，高效配电变压器在网运行比例提高14%；建成较为完善的配套体系和规范的市场秩序，当年新增量中高效配电变压器占比达到70%。同时，《计划》明确“扩大高效配电变压器应用比例”、“提升高效配电变压器产业化能力”等四项主要任务。其中，在加快高效配电变压器推广方面，《计划》提出，充分利用财税政策引导市场需求：一是推动实施配电变压器能效领跑者制度，研究制定相关激励措施，加大高效配电变压器推广力度；二是推动高耗能行业差别性电价政策；三是鼓励各级政府制定实施差异化的高效配电变压器补贴政策。</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发展改革委发文推进实施现代物流重大工程"/>
      <w:bookmarkEnd w:id="50"/>
      <w:r>
        <w:t xml:space="preserve">发展改革委发文推进实施现代物流重大工程</w:t>
      </w:r>
    </w:p>
    <w:p>
      <w:r>
        <w:t xml:space="preserve">近日，发改委发布《关于加快实施现代物流重大工程的通知》（简称《通知》）。</w:t>
      </w:r>
    </w:p>
    <w:p>
      <w:r>
        <w:t xml:space="preserve">《通知》要求，到2020年，依托覆盖全国主要物流节点的物流基础设施网络，基本建立布局合理、技术先进、便捷高效、绿色环保、安全有序的现代物流服务体系。物流业增加值年均增长8%左右，物流业增加值占国内生产总值的比重达到7.5%左右，第三方物流比重由目前的约60%提高到70%左右。《通知》还强调，各省（区、市）要多渠道增加对现代物流重大工程项目的投入，引导银行业金融机构加大对物流企业的信贷支持，为重大项目建设提供更便利的融资服务。支持企业通过发行公司债券、非金融企业债务融资工具、企业债券和上市等多种方式拓宽融资渠道，开展重大项目建设。</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食品药品监管总局印发医疗器械经营企业分类分级监督管理规定"/>
      <w:bookmarkEnd w:id="53"/>
      <w:r>
        <w:t xml:space="preserve">食品药品监管总局印发医疗器械经营企业分类分级监督管理规定</w:t>
      </w:r>
    </w:p>
    <w:p>
      <w:r>
        <w:t xml:space="preserve">近日，食品药品监管总局印发《医疗器械经营企业分类分级监督管理规定》（简称《规定》），自发布之日起施行。</w:t>
      </w:r>
    </w:p>
    <w:p>
      <w:r>
        <w:t xml:space="preserve">根据《规定》，医疗器械经营企业分为三个监管级别。其中三级监管为风险最高级别的监管，主要是对医疗器械经营环节重点监管目录涉及的经营企业，为其他医疗器械生产经营企业提供贮存、配送服务的经营企业，上年度存在行政处罚且整改不到位和存在不良信用记录的经营企业进行的监管。二级监管为风险一般级别的监管，主要是对除三级监管外的经营第二、三类医疗器械的批发企业进行的监管。一级监管为风险较低级别的监管，主要是对除二、三级监管外的其他医疗器械经营企业进行的监管。此外《规定》还规定了相关的监管措施。</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wto"/>
      <w:bookmarkEnd w:id="56"/>
      <w:r>
        <w:t xml:space="preserve">WTO</w:t>
      </w:r>
    </w:p>
    <w:p>
      <w:pPr>
        <w:pStyle w:val="Heading3"/>
      </w:pPr>
      <w:bookmarkStart w:id="57" w:name="海关总署对进口原产于日本和美国的光纤预制棒征收反倾销税"/>
      <w:bookmarkEnd w:id="57"/>
      <w:r>
        <w:t xml:space="preserve">海关总署：对进口原产于日本和美国的光纤预制棒征收反倾销税</w:t>
      </w:r>
    </w:p>
    <w:p>
      <w:r>
        <w:t xml:space="preserve">近日，海关总署下发《关于对进口原产于日本和美国的光纤预制棒征收反倾销税的公告》（下称《公告》）。</w:t>
      </w:r>
    </w:p>
    <w:p>
      <w:r>
        <w:t xml:space="preserve">根据《公告》，自2015年8月19日起，海关对进口原产于日本和美国的光纤预制棒（税则号列：70022010），除按现行规定征收关税外，还将区别不同的供货厂商，按本公告所列的适用税率和下述计算公式征收反倾销税及相应的进口环节增值税：反倾销税税额=完税价格×反倾销税税率；进口环节增值税税额=（完税价格+关税税额+反倾销税税额）×进口环节增值税税率。同时，《公告》规定，凡申报进口光纤预制棒的进口经营单位，应当向海关如实申报原产地并提交相关原产地证据文件。如果原产地为日本或美国的，还需提供原生产厂商发票。</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国办印发整合建立统一的公共资源交易平台工作方案"/>
      <w:bookmarkEnd w:id="60"/>
      <w:r>
        <w:t xml:space="preserve">国办印发《整合建立统一的公共资源交易平台工作方案》</w:t>
      </w:r>
    </w:p>
    <w:p>
      <w:r>
        <w:t xml:space="preserve">近日，国务院办公厅印发《整合建立统一的公共资源交易平台工作方案》（《方案》）。</w:t>
      </w:r>
    </w:p>
    <w:p>
      <w:r>
        <w:t xml:space="preserve">《方案》确立“整合分散设立的工程建设项目招标投标、土地使用权和矿业权出让、国有产权交易、政府采购等交易平台”的整合范围；提出“2016年6月底前，地方各级政府基本完成公共资源交易平台整合工作。2017年6月底前，在全国范围内形成规则统一、公开透明、服务高效、监督规范的公共资源交易平台体系，基本实现公共资源交易全过程电子化”的整合目标。同时，《方案》明确有序整合资源、统一规则体系等重点内容。其中，在整合平台层级方面，鼓励整合建立跨行政区域的公共资源交易平台；在整合场所资源方面，对于社会力量建设并符合标准要求的场所，政府可探索通过购买服务等加以利用。</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誉衡药业拟并购振阳医院-涉足医疗服务领域"/>
      <w:bookmarkEnd w:id="64"/>
      <w:r>
        <w:t xml:space="preserve">誉衡药业拟并购振阳医院 涉足医疗服务领域</w:t>
      </w:r>
    </w:p>
    <w:p>
      <w:r>
        <w:t xml:space="preserve">誉衡药业8月18日公告，公司拟以现金增资方式取得射阳振阳医院70%权益，交易价格预计不超过1.76亿元。</w:t>
      </w:r>
    </w:p>
    <w:p>
      <w:r>
        <w:t xml:space="preserve">此次交易拟分两笔进行：公司在支付首期增资款后取得振阳医院30%权益；第二笔交易价格将根据审计结果另行约定，若经审计的振阳医院固定资产原值未达1.7亿元或出现违反相关约定条件等情况，公司有权放弃增资。</w:t>
      </w:r>
    </w:p>
    <w:p>
      <w:r>
        <w:t xml:space="preserve">振阳医院在江苏盐城市射阳县经营时间十余年，是当地最大最有影响力的民营医疗机构。振阳医院2014年实现营业收入1182.01万元，净利润-257.54万元。预计振阳医院将具有较大的发展空间及盈利预期。</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六部门发文要求贯彻落实国办关于加快推进三证合一登记制度改革的意见"/>
      <w:bookmarkEnd w:id="68"/>
      <w:r>
        <w:t xml:space="preserve">六部门发文要求贯彻落实国办关于加快推进“三证合一”登记制度改革的意见</w:t>
      </w:r>
    </w:p>
    <w:p>
      <w:r>
        <w:t xml:space="preserve">近日，工商总局等六部门发布《关于贯彻落实〈国务院办公厅关于加快推进“三证合一”登记制度改革的意见〉的通知》（简称《通知》）。</w:t>
      </w:r>
    </w:p>
    <w:p>
      <w:r>
        <w:t xml:space="preserve">根据《通知》要求，全面实施“三证合一”登记制度，实行“一照一码”登记模式。同时，实行统一的登记条件、登记程序和登记申请文书材料规范，申请人办理企业注册登记时只需填写“一表”，向“一个窗口”提交“一套材料”即可，登记部门审核后，直接核发加载统一代码的营业执照，并在全国企业信用信息公示系统公示。《通知》还规定对已领取“一照一码”营业执照、探索试点的“一照三号”营业执照和“一照一号”营业执照的企业在办理相关事务时，不再要求企业提供组织机构代码证、税务登记证。</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国务院印发全国海洋主体功能区规划"/>
      <w:bookmarkEnd w:id="71"/>
      <w:r>
        <w:t xml:space="preserve">国务院印发全国海洋主体功能区规划</w:t>
      </w:r>
    </w:p>
    <w:p>
      <w:r>
        <w:t xml:space="preserve">近日，国务院发布《国务院关于印发全国海洋主体功能区规划的通知》（简称《通知》）。</w:t>
      </w:r>
    </w:p>
    <w:p>
      <w:r>
        <w:t xml:space="preserve">根据《通知》，海洋主体功能区按开发内容可分为产业与城镇建设、农渔业生产、生态环境服务三种功能。依据主体功能，将海洋空间划分为以下四类区域：优化开发区域、重点开发区域、限制开发区域、禁止开发区域。《通知》还指出，到2020年主体功能区布局的主要目标为：海洋空间利用格局清晰合理、海洋空间利用效率提高、海洋可持续发展能力提升。此外，《通知》强调，现已明确公布的内水和领海面积38万平方公里，是海洋开发活动的核心区域，也是坚持陆海统筹、实现人口资源环境协调发展的关键区域。</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第468期 - 2015年08月21日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737d29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5" Target="http://epaper.stcn.com/paper/zqsb/html/2015-08/18/content_723022.htm" TargetMode="External" /><Relationship Type="http://schemas.openxmlformats.org/officeDocument/2006/relationships/hyperlink" Id="rId42" Target="http://file.mofcom.gov.cn/article/gkml/201508/20150801082596.shtml" TargetMode="External" /><Relationship Type="http://schemas.openxmlformats.org/officeDocument/2006/relationships/hyperlink" Id="rId21" Target="http://www.charltonslaw.com.cn/china-news-alerts-cn-issue-468/" TargetMode="External" /><Relationship Type="http://schemas.openxmlformats.org/officeDocument/2006/relationships/hyperlink" Id="rId35" Target="http://www.chinatax.gov.cn/n810341/n810755/c1767345/content.html" TargetMode="External" /><Relationship Type="http://schemas.openxmlformats.org/officeDocument/2006/relationships/hyperlink" Id="rId25" Target="http://www.circ.gov.cn/web/site0/tab5168/info3970759.htm" TargetMode="External" /><Relationship Type="http://schemas.openxmlformats.org/officeDocument/2006/relationships/hyperlink" Id="rId28" Target="http://www.circ.gov.cn/web/site0/tab5168/info3970781.htm" TargetMode="External" /><Relationship Type="http://schemas.openxmlformats.org/officeDocument/2006/relationships/hyperlink" Id="rId31" Target="http://www.circ.gov.cn/web/site0/tab5168/info3970786.htm" TargetMode="External" /><Relationship Type="http://schemas.openxmlformats.org/officeDocument/2006/relationships/hyperlink" Id="rId58" Target="http://www.customs.gov.cn/publish/portal0/tab49564/info770407.htm" TargetMode="External" /><Relationship Type="http://schemas.openxmlformats.org/officeDocument/2006/relationships/hyperlink" Id="rId61" Target="http://www.gov.cn/zhengce/content/2015-08/14/content_10085.htm" TargetMode="External" /><Relationship Type="http://schemas.openxmlformats.org/officeDocument/2006/relationships/hyperlink" Id="rId45" Target="http://www.gov.cn/zhengce/content/2015-08/18/content_10101.htm" TargetMode="External" /><Relationship Type="http://schemas.openxmlformats.org/officeDocument/2006/relationships/hyperlink" Id="rId72" Target="http://www.gov.cn/zhengce/content/2015-08/20/content_10107.htm" TargetMode="External" /><Relationship Type="http://schemas.openxmlformats.org/officeDocument/2006/relationships/hyperlink" Id="rId38" Target="http://www.he-n-tax.gov.cn/hdgsww/bsfw_19806/tzgg/1/201508/t20150814_945906.htm" TargetMode="External" /><Relationship Type="http://schemas.openxmlformats.org/officeDocument/2006/relationships/hyperlink" Id="rId48" Target="http://www.miit.gov.cn/n11293472/n11293832/n12843926/n13917012/16783457.html" TargetMode="External" /><Relationship Type="http://schemas.openxmlformats.org/officeDocument/2006/relationships/hyperlink" Id="rId69" Target="http://www.saic.gov.cn/zwgk/zyfb/lhfw/lhfw/qyzcj/201508/t20150813_160222.html" TargetMode="External" /><Relationship Type="http://schemas.openxmlformats.org/officeDocument/2006/relationships/hyperlink" Id="rId54" Target="http://www.sda.gov.cn/WS01/CL0845/127042.html" TargetMode="External" /><Relationship Type="http://schemas.openxmlformats.org/officeDocument/2006/relationships/hyperlink" Id="rId51" Target="http://www.sdpc.gov.cn/zwfwzx/tztg/201508/t20150813_745168.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5" Target="http://epaper.stcn.com/paper/zqsb/html/2015-08/18/content_723022.htm" TargetMode="External" /><Relationship Type="http://schemas.openxmlformats.org/officeDocument/2006/relationships/hyperlink" Id="rId42" Target="http://file.mofcom.gov.cn/article/gkml/201508/20150801082596.shtml" TargetMode="External" /><Relationship Type="http://schemas.openxmlformats.org/officeDocument/2006/relationships/hyperlink" Id="rId21" Target="http://www.charltonslaw.com.cn/china-news-alerts-cn-issue-468/" TargetMode="External" /><Relationship Type="http://schemas.openxmlformats.org/officeDocument/2006/relationships/hyperlink" Id="rId35" Target="http://www.chinatax.gov.cn/n810341/n810755/c1767345/content.html" TargetMode="External" /><Relationship Type="http://schemas.openxmlformats.org/officeDocument/2006/relationships/hyperlink" Id="rId25" Target="http://www.circ.gov.cn/web/site0/tab5168/info3970759.htm" TargetMode="External" /><Relationship Type="http://schemas.openxmlformats.org/officeDocument/2006/relationships/hyperlink" Id="rId28" Target="http://www.circ.gov.cn/web/site0/tab5168/info3970781.htm" TargetMode="External" /><Relationship Type="http://schemas.openxmlformats.org/officeDocument/2006/relationships/hyperlink" Id="rId31" Target="http://www.circ.gov.cn/web/site0/tab5168/info3970786.htm" TargetMode="External" /><Relationship Type="http://schemas.openxmlformats.org/officeDocument/2006/relationships/hyperlink" Id="rId58" Target="http://www.customs.gov.cn/publish/portal0/tab49564/info770407.htm" TargetMode="External" /><Relationship Type="http://schemas.openxmlformats.org/officeDocument/2006/relationships/hyperlink" Id="rId61" Target="http://www.gov.cn/zhengce/content/2015-08/14/content_10085.htm" TargetMode="External" /><Relationship Type="http://schemas.openxmlformats.org/officeDocument/2006/relationships/hyperlink" Id="rId45" Target="http://www.gov.cn/zhengce/content/2015-08/18/content_10101.htm" TargetMode="External" /><Relationship Type="http://schemas.openxmlformats.org/officeDocument/2006/relationships/hyperlink" Id="rId72" Target="http://www.gov.cn/zhengce/content/2015-08/20/content_10107.htm" TargetMode="External" /><Relationship Type="http://schemas.openxmlformats.org/officeDocument/2006/relationships/hyperlink" Id="rId38" Target="http://www.he-n-tax.gov.cn/hdgsww/bsfw_19806/tzgg/1/201508/t20150814_945906.htm" TargetMode="External" /><Relationship Type="http://schemas.openxmlformats.org/officeDocument/2006/relationships/hyperlink" Id="rId48" Target="http://www.miit.gov.cn/n11293472/n11293832/n12843926/n13917012/16783457.html" TargetMode="External" /><Relationship Type="http://schemas.openxmlformats.org/officeDocument/2006/relationships/hyperlink" Id="rId69" Target="http://www.saic.gov.cn/zwgk/zyfb/lhfw/lhfw/qyzcj/201508/t20150813_160222.html" TargetMode="External" /><Relationship Type="http://schemas.openxmlformats.org/officeDocument/2006/relationships/hyperlink" Id="rId54" Target="http://www.sda.gov.cn/WS01/CL0845/127042.html" TargetMode="External" /><Relationship Type="http://schemas.openxmlformats.org/officeDocument/2006/relationships/hyperlink" Id="rId51" Target="http://www.sdpc.gov.cn/zwfwzx/tztg/201508/t20150813_745168.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第468期 - 2015年08月21日</dc:title>
  <dc:creator/>
</cp:coreProperties>
</file>