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第470期</w:t>
      </w:r>
      <w:r>
        <w:t xml:space="preserve"> </w:t>
      </w:r>
      <w:r>
        <w:t xml:space="preserve">-</w:t>
      </w:r>
      <w:r>
        <w:t xml:space="preserve"> </w:t>
      </w:r>
      <w:r>
        <w:t xml:space="preserve">2015年09月08日</w:t>
      </w:r>
    </w:p>
    <w:p>
      <w:hyperlink r:id="rId21">
        <w:r>
          <w:rPr>
            <w:rStyle w:val="Link"/>
          </w:rPr>
          <w:t xml:space="preserve">网络版</w:t>
        </w:r>
      </w:hyperlink>
    </w:p>
    <w:p>
      <w:pPr>
        <w:pStyle w:val="Heading1"/>
      </w:pPr>
      <w:bookmarkStart w:id="22" w:name="中国法讯第470期"/>
      <w:bookmarkEnd w:id="22"/>
      <w:r>
        <w:t xml:space="preserve">中国法讯第470期</w:t>
      </w:r>
    </w:p>
    <w:p>
      <w:pPr>
        <w:pStyle w:val="Heading2"/>
      </w:pPr>
      <w:bookmarkStart w:id="23" w:name="资本市场"/>
      <w:bookmarkEnd w:id="23"/>
      <w:r>
        <w:t xml:space="preserve">资本市场</w:t>
      </w:r>
    </w:p>
    <w:p>
      <w:pPr>
        <w:pStyle w:val="Heading3"/>
      </w:pPr>
      <w:bookmarkStart w:id="24" w:name="四部委联合发文鼓励上市公司重组现金分红及回购股份"/>
      <w:bookmarkEnd w:id="24"/>
      <w:r>
        <w:t xml:space="preserve">四部委联合发文:鼓励上市公司重组、现金分红及回购股份</w:t>
      </w:r>
    </w:p>
    <w:p>
      <w:r>
        <w:t xml:space="preserve">近日，证监会、财政部、国资委和银监会联合发布《关于鼓励上市公司兼并重组、现金分红及回购股份的通知》（简称《通知》），自发布之日起施行。</w:t>
      </w:r>
    </w:p>
    <w:p>
      <w:r>
        <w:t xml:space="preserve">《通知》要求，大力推进兼并重组市场化改革。全面梳理上市公司兼并重组涉及的审批事项，进一步简政放权，扩大取消审批的范围。《通知》强调，上市公司应建立健全现金分红制度，保持现金分红政策的一致性、合理性和稳定性，并在章程中明确现金分红相对于股票股利在利润分配方式中的优先顺序。具备现金分红条件的，应当采用现金分红进行利润分配。此外，《通知》还提出，上市公司股票价格低于每股净资产，或者市盈率或市净率低于同行业上市公司平均水平达到预设幅度的，可以主动回购本公司股份。</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全国人大常委会修改中华人民共和国商业银行法"/>
      <w:bookmarkEnd w:id="27"/>
      <w:r>
        <w:t xml:space="preserve">全国人大常委会修改《中华人民共和国商业银行法》</w:t>
      </w:r>
    </w:p>
    <w:p>
      <w:r>
        <w:t xml:space="preserve">近日，十二届全国人大常委会第十六次会议表决通过了《关于修改〈中华人民共和国商业银行法〉的决定》（简称《决定》），自2015年10月1日起施行。</w:t>
      </w:r>
    </w:p>
    <w:p>
      <w:r>
        <w:t xml:space="preserve">根据《决定》，删去第三十九条第一款第二项内容“资本充足率不得低于百分之八”。删去第七十五条第三项中的“存贷比例”，修改后第七十五条第三项内容为“未遵守资本充足率、资产流动性比例、同一借款人贷款比例和国务院银行业监督管理机构有关资产负债比例管理的其他规定的。”</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税收"/>
      <w:bookmarkEnd w:id="30"/>
      <w:r>
        <w:t xml:space="preserve">税收</w:t>
      </w:r>
    </w:p>
    <w:p>
      <w:pPr>
        <w:pStyle w:val="Heading3"/>
      </w:pPr>
      <w:bookmarkStart w:id="31" w:name="物流企业大宗商品仓储设施用地城镇土地使用税优惠政策继续实施"/>
      <w:bookmarkEnd w:id="31"/>
      <w:r>
        <w:t xml:space="preserve">物流企业大宗商品仓储设施用地城镇土地使用税优惠政策继续实施</w:t>
      </w:r>
    </w:p>
    <w:p>
      <w:r>
        <w:t xml:space="preserve">日前，财政部、国税总局下发《关于继续实施物流企业大宗商品仓储设施用地城镇土地使用税优惠政策的通知》（下称《通知》）。</w:t>
      </w:r>
    </w:p>
    <w:p>
      <w:r>
        <w:t xml:space="preserve">《通知》明确了“物流企业”、“大宗商品仓储设施”、“仓储设施用地”的定义。同时，《通知》规定，自2015年1月1日起至2016年12月31日止，对物流企业自有的（包括自用和出租）大宗商品仓储设施用地，减按所属土地等级适用税额标准的50%计征城镇土地使用税。符合减税条件的物流企业需持相关材料向主管税务机关办理备案手续。</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推进税务稽查随机抽查实施方案印发"/>
      <w:bookmarkEnd w:id="34"/>
      <w:r>
        <w:t xml:space="preserve">《推进税务稽查随机抽查实施方案》印发</w:t>
      </w:r>
    </w:p>
    <w:p>
      <w:r>
        <w:t xml:space="preserve">日前，国税总局制发《推进税务稽查随机抽查实施方案》（下称《方案》）。</w:t>
      </w:r>
    </w:p>
    <w:p>
      <w:r>
        <w:t xml:space="preserve">《方案》规定，随机抽查的对象和内容为纳税人、扣缴义务人和其他涉税当事人（统称“税务稽查对象”）履行纳税义务、扣缴税款义务情况及其他税法遵从情况。所有待查对象，除线索明显涉嫌偷逃骗抗税和虚开发票等税收违法行为直接立案查处的外，均须通过摇号等方式，从税务稽查对象分类名录库和税务稽查异常对象名录库中随机抽取。《方案》明确，随机抽查比例和频次要合理适度，对全国、省、市重点税源企业，采取定向抽查与不定向抽查相结合的方式，每年抽查比例20%左右，原则上每5年检查一轮。</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两部门发文明确化肥恢复征收增值税有关政策"/>
      <w:bookmarkEnd w:id="37"/>
      <w:r>
        <w:t xml:space="preserve">两部门发文明确化肥恢复征收增值税有关政策</w:t>
      </w:r>
    </w:p>
    <w:p>
      <w:r>
        <w:t xml:space="preserve">近日，财政部、国税总局下发《关于对化肥恢复征收增值税政策的补充通知》（下称《通知》）。</w:t>
      </w:r>
    </w:p>
    <w:p>
      <w:r>
        <w:t xml:space="preserve">《通知》所称的库存化肥，是指纳税人2015年8月31日前生产或购进的尚未销售的化肥。根据《通知》，自2015年9月1日起至2016年6月30日，对增值税一般纳税人销售的库存化肥，允许选择按简易计税方法依3%征收率征收增值税。同时，《通知》规定，化肥属于取消出口退（免）税的货物，仍按财税〔2012〕39号规定，其出口视同内销征收增值税。出口日期以出口货物报关单上注明的为准。</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2"/>
      </w:pPr>
      <w:bookmarkStart w:id="40" w:name="行业"/>
      <w:bookmarkEnd w:id="40"/>
      <w:r>
        <w:t xml:space="preserve">行业</w:t>
      </w:r>
    </w:p>
    <w:p>
      <w:pPr>
        <w:pStyle w:val="Heading3"/>
      </w:pPr>
      <w:bookmarkStart w:id="41" w:name="加快配电网建设改造指导意见发布"/>
      <w:bookmarkEnd w:id="41"/>
      <w:r>
        <w:t xml:space="preserve">加快配电网建设改造指导意见发布</w:t>
      </w:r>
    </w:p>
    <w:p>
      <w:r>
        <w:t xml:space="preserve">近日，国家发改委下发《关于加快配电网建设改造的指导意见》（下称《意见》）。</w:t>
      </w:r>
    </w:p>
    <w:p>
      <w:r>
        <w:t xml:space="preserve">《意见》提出，至2020年，中心城市（区）用户年均停电时间不超过1小时，综合电压合格率达到99.97%；城镇地区用户年均停电时间不超过10小时，综合电压合格率达到98.79%。同时，《意见》强调，加大财政资金支持力度，带动企业与社会资金投入，扩大投资规模，形成支持配电网发展的长效机制；完善电价政策，结合输配电价改革，将配电网建设改造投资纳入电网企业有效资产，将运营成本计入准许成本。此外，《意见》还确立了“发行配电网建设改造专项企业债券”、“鼓励社会资本参与配电网投资”、“鼓励多种方式购售电”等多项政策。</w:t>
      </w:r>
    </w:p>
    <w:p>
      <w:hyperlink r:id="rId42">
        <w:r>
          <w:rPr>
            <w:rStyle w:val="Link"/>
          </w:rPr>
          <w:t xml:space="preserve">来源</w:t>
        </w:r>
      </w:hyperlink>
      <w:r>
        <w:t xml:space="preserve"> </w:t>
      </w:r>
      <w:r>
        <w:t xml:space="preserve">(</w:t>
      </w:r>
      <w:hyperlink r:id="rId43">
        <w:r>
          <w:rPr>
            <w:rStyle w:val="Link"/>
          </w:rPr>
          <w:t xml:space="preserve">副本</w:t>
        </w:r>
      </w:hyperlink>
      <w:r>
        <w:t xml:space="preserve">)</w:t>
      </w:r>
    </w:p>
    <w:p>
      <w:pPr>
        <w:pStyle w:val="Heading3"/>
      </w:pPr>
      <w:bookmarkStart w:id="44" w:name="国土部取消探矿权采矿权协议出让申请审批"/>
      <w:bookmarkEnd w:id="44"/>
      <w:r>
        <w:t xml:space="preserve">国土部：取消探矿权采矿权协议出让申请审批</w:t>
      </w:r>
    </w:p>
    <w:p>
      <w:r>
        <w:t xml:space="preserve">近日，国土资源部下发《关于严格控制和规范矿业权协议出让管理有关问题的通知》（下称《通知》），自印发之日起施行，有效期五年。</w:t>
      </w:r>
    </w:p>
    <w:p>
      <w:r>
        <w:t xml:space="preserve">《通知》对国土资发〔2012〕80号文进行了修改，明确:协议出让探矿权、采矿权，应符合矿产资源规划及国家相关产业政策，符合协议出让条件的，按探矿权、采矿权审批登记权限，由登记管理机关审批登记颁发勘查许可证、采矿许可证，不再单独进行协议出让申请审批。《通知》还规定了“在勘查、开采项目出资人已确定并经矿业权登记管理机关集体会审的情况下”准许以协议方式出让探矿权、采矿权的五种情形。</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3"/>
      </w:pPr>
      <w:bookmarkStart w:id="47" w:name="食品生产许可管理办法和食品经营许可管理办法出台"/>
      <w:bookmarkEnd w:id="47"/>
      <w:r>
        <w:t xml:space="preserve">《食品生产许可管理办法》和《食品经营许可管理办法》出台</w:t>
      </w:r>
    </w:p>
    <w:p>
      <w:r>
        <w:t xml:space="preserve">近日，国家食品药品监管总局局务会议审议通过《食品生产许可管理办法》和《食品经营许可管理办法》（以下简称两《办法》），均于2015年10月1日起施行。</w:t>
      </w:r>
    </w:p>
    <w:p>
      <w:r>
        <w:t xml:space="preserve">根据两《办法》，食品流通许可与餐饮服务许可两个许可整合为食品经营许可；食品添加剂生产许可纳入《食品生产许可管理办法》。食品生产许可实行一企一证原则；食品经营许可实行一地一证原则。两《办法》规定，特殊食品生产企业除需要具备普通食品的许可条件外，还应当提交相应的生产质量管理体系文件以及产品注册和备案文件。此外，两《办法》还在分类许可、许可证编号规则、许可证载明事项等方面做出了规定。</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质检总局有机产品认证机构将限定认证范围"/>
      <w:bookmarkEnd w:id="50"/>
      <w:r>
        <w:t xml:space="preserve">质检总局:有机产品认证机构将限定认证范围</w:t>
      </w:r>
    </w:p>
    <w:p>
      <w:r>
        <w:t xml:space="preserve">近日，国家质检总局局务会议审议通过《国家质量监督检验检疫总局关于修改部分规章的决定》（简称《决定》），自公布之日起施行。</w:t>
      </w:r>
    </w:p>
    <w:p>
      <w:r>
        <w:t xml:space="preserve">《决定》将《设备监理单位资格管理办法》的第十一条、十二条合并修改为“ 申请甲级、乙级设备监理单位资格的，应当向其所在地省级质量技术监督部门提出，由省级质量技术监督部门受理，并可以委托有关机构组织评审。经评审合格的，由省级质量技术监督部门予以核准，并颁发相应设备监理单位资格证书。”将《有机产品认证管理办法》的第七条第一款修改为“有机产品认证机构应当依法取得法人资格，并经国家认监委批准后，方可从事批准范围内的有机产品认证活动。”此外，《决定》还对其他四部规章作了修改。</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3"/>
      </w:pPr>
      <w:bookmarkStart w:id="53" w:name="中华人民共和国促进科技成果转化法修改公布"/>
      <w:bookmarkEnd w:id="53"/>
      <w:r>
        <w:t xml:space="preserve">《中华人民共和国促进科技成果转化法》修改公布</w:t>
      </w:r>
    </w:p>
    <w:p>
      <w:r>
        <w:t xml:space="preserve">日前，十二届全国人大常委会第十六次会议通过《关于修改〈中华人民共和国促进科技成果转化法〉的决定》（下称《决定》），自2015年10月1日起施行。</w:t>
      </w:r>
    </w:p>
    <w:p>
      <w:r>
        <w:t xml:space="preserve">《决定》增加一条，作为第四条： “国家对科技成果转化合理安排财政资金投入，引导社会资金投入，推动科技成果转化资金投入的多元化”。同时，《决定》将第二十三条改为第三十五条，修改为： “国家鼓励银行业金融机构在组织形式、管理机制、金融产品和服务等方面进行创新，鼓励开展知识产权质押贷款、股权质押贷款等贷款业务，为科技成果转化提供金融支持。国家鼓励政策性金融机构采取措施，加大对科技成果转化的金融支持”。此外，《决定》还对科技成果转化过程中具体措施进行了修改。</w:t>
      </w:r>
    </w:p>
    <w:p>
      <w:hyperlink r:id="rId54">
        <w:r>
          <w:rPr>
            <w:rStyle w:val="Link"/>
          </w:rPr>
          <w:t xml:space="preserve">来源</w:t>
        </w:r>
      </w:hyperlink>
      <w:r>
        <w:t xml:space="preserve"> </w:t>
      </w:r>
      <w:r>
        <w:t xml:space="preserve">(</w:t>
      </w:r>
      <w:hyperlink r:id="rId55">
        <w:r>
          <w:rPr>
            <w:rStyle w:val="Link"/>
          </w:rPr>
          <w:t xml:space="preserve">副本</w:t>
        </w:r>
      </w:hyperlink>
      <w:r>
        <w:t xml:space="preserve">)</w:t>
      </w:r>
    </w:p>
    <w:p>
      <w:pPr>
        <w:pStyle w:val="Heading3"/>
      </w:pPr>
      <w:bookmarkStart w:id="56" w:name="新修订大气污染防治法获通过"/>
      <w:bookmarkEnd w:id="56"/>
      <w:r>
        <w:t xml:space="preserve">新修订《大气污染防治法》获通过</w:t>
      </w:r>
    </w:p>
    <w:p>
      <w:r>
        <w:t xml:space="preserve">近日，十二届全国人大常委会第十六次会议通过新修订的《中华人民共和国大气污染防治法》（下称“新《大气污染防治法》”），自2016年1月1日起施行。</w:t>
      </w:r>
    </w:p>
    <w:p>
      <w:r>
        <w:t xml:space="preserve">新《大气污染防治法》规定，污染物排放总量控制和排污许可由“两控区”扩展到全国，并明确分配总量指标，对超总量和未完成达标任务的地区实行区域限批，并约谈主要负责人。进一步强化对地方政府的考核和监督。同时，新《大气污染防治法》确立，制定燃油质量标准，应符合国家大气污染物控制要求。石油炼制企业应按燃油质量标准生产燃油。此外，新《大气污染防治法》还加大了行政处罚力度，取消对造成大气污染事故企业罚款“最高不超过50万元”的封顶限额，并增加“按日计罚”规定。</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国务院发文推进国内贸易流通体制改革"/>
      <w:bookmarkEnd w:id="59"/>
      <w:r>
        <w:t xml:space="preserve">国务院发文推进国内贸易流通体制改革</w:t>
      </w:r>
    </w:p>
    <w:p>
      <w:r>
        <w:t xml:space="preserve">近日，国务院发布《关于推进国内贸易流通现代化建设法治化营商环境的意见》（简称《意见》）。</w:t>
      </w:r>
    </w:p>
    <w:p>
      <w:r>
        <w:t xml:space="preserve">《意见》明确，禁止在市场经济活动中实行地区封锁，禁止行政机关滥用行政权力限制、排除竞争的行为。禁止利用市场优势地位收取不合理费用或强制设置不合理的交易条件，规范零售商供应商交易关系。《意见》还强调，统筹规划全国流通网络建设，推进京津冀流通产业协同发展，统筹规划建设三地流通设施，促进共建共享。《意见》指出，到2020年基本形成规则健全、统一开放、竞争有序、监管有力、畅通高效的内贸流通体系和比较完善的法治化营商环境。</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国家卫计委发文进一步加强抗菌药物临床应用管理"/>
      <w:bookmarkEnd w:id="62"/>
      <w:r>
        <w:t xml:space="preserve">国家卫计委发文进一步加强抗菌药物临床应用管理</w:t>
      </w:r>
    </w:p>
    <w:p>
      <w:r>
        <w:t xml:space="preserve">近日，国家卫生计生委、国家中医药管理局联合公布《关于进一步加强抗菌药物临床应用管理工作的通知》（简称《通知》）。</w:t>
      </w:r>
    </w:p>
    <w:p>
      <w:r>
        <w:t xml:space="preserve">《通知》提出，各地、各医疗机构要强化有关法规制度要求的落实，对抗菌药物品种品规遴选、采购、处方、调剂、临床应用和评价等进行全流程监管。《通知》要求，抗菌药物处方点评结果应作为科室和医务人员处方权授予及绩效考核的重要依据。对出现抗菌药物超常处方3次以上且无正当理由的医师提出警告，限制其特殊使用级和限制使用级抗菌药物处方权；限制处方权后，仍出现超常处方且无正当理由的，取消其抗菌药物处方权，且6个月内不得恢复。</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2"/>
      </w:pPr>
      <w:bookmarkStart w:id="65" w:name="并购"/>
      <w:bookmarkEnd w:id="65"/>
      <w:r>
        <w:t xml:space="preserve">并购</w:t>
      </w:r>
    </w:p>
    <w:p>
      <w:pPr>
        <w:pStyle w:val="Heading3"/>
      </w:pPr>
      <w:bookmarkStart w:id="66" w:name="九鼎投资百亿港元收购富通香港"/>
      <w:bookmarkEnd w:id="66"/>
      <w:r>
        <w:t xml:space="preserve">九鼎投资百亿港元收购富通香港</w:t>
      </w:r>
    </w:p>
    <w:p>
      <w:r>
        <w:t xml:space="preserve">九鼎投资9月1日披露重大资产重组预案，公司计划以现金方式支付106.88亿港元（约合人民币88.24亿元），收购富通香港100%股权，即受让富通国际所持有的富通香港全部8.44亿股普通股股份。</w:t>
      </w:r>
    </w:p>
    <w:p>
      <w:r>
        <w:t xml:space="preserve">公告显示，富通香港成立于1985年，注册地位于百慕大，是富通国际的全资控股公司。富通香港主要通过旗下的全资子公司经营人寿保险业务，为香港的个人及机构客户提供丰富的保险产品，其中包括终身寿险、养老保险、投资型保险、定期寿险和意外、医疗及伤残保险，其专业团队拥有超过2800名代理人和独立财务顾问，国际信用评级为A(惠誉)和 Baa1(穆迪)。</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国祯环保收购麦王环境72股权"/>
      <w:bookmarkEnd w:id="69"/>
      <w:r>
        <w:t xml:space="preserve">国祯环保收购麦王环境72%股权</w:t>
      </w:r>
    </w:p>
    <w:p>
      <w:r>
        <w:t xml:space="preserve">国祯环保8月31日公告，公司决定以自有资金3.7亿元收购麦王环境技术股份有限公司72.31%的股权。</w:t>
      </w:r>
    </w:p>
    <w:p>
      <w:r>
        <w:t xml:space="preserve">交易转让方承诺，在业绩考核期内，麦王环境经审计的2015年和2016年归属于母公司股东的扣除非经常性损益后的净利润，分别不低于4167万元和5233万元，该承诺净利润指标每年度可向下浮动不超过5%，但2015年和2016年麦王环境经审计归属于母公司股东的扣除非经常性损益后的净利润合计不得低于9400万元。</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2"/>
      </w:pPr>
      <w:bookmarkStart w:id="72" w:name="wto"/>
      <w:bookmarkEnd w:id="72"/>
      <w:r>
        <w:t xml:space="preserve">WTO</w:t>
      </w:r>
    </w:p>
    <w:p>
      <w:pPr>
        <w:pStyle w:val="Heading3"/>
      </w:pPr>
      <w:bookmarkStart w:id="73" w:name="进口商品信贷支持范围调整"/>
      <w:bookmarkEnd w:id="73"/>
      <w:r>
        <w:t xml:space="preserve">进口商品信贷支持范围调整</w:t>
      </w:r>
    </w:p>
    <w:p>
      <w:r>
        <w:t xml:space="preserve">近日，商务部、发展改革委、财政部、银监会联合发布了《关于给予国家鼓励的进口商品信贷支持的补充通知》（简称《通知》）。</w:t>
      </w:r>
    </w:p>
    <w:p>
      <w:r>
        <w:t xml:space="preserve">根据《通知》，在现行中国进出口银行优惠利率进口信贷支持范围的基础上，将《鼓励进口技术和产品目录（2015年版）》（发改产业〔2015〕1541号）纳入进口信贷支持范围，对该目录中的先进技术、关键装备及零部件和紧缺资源性产品给予优惠利率进口信贷支持。今后，中国进出口银行将根据该目录调整情况，相应调整优惠利率进口信贷支持范围。</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发改委等7部门部署进一步清理和规范进出口环节收费"/>
      <w:bookmarkEnd w:id="76"/>
      <w:r>
        <w:t xml:space="preserve">发改委等7部门部署进一步清理和规范进出口环节收费</w:t>
      </w:r>
    </w:p>
    <w:p>
      <w:r>
        <w:t xml:space="preserve">近日，国家发改委、财政部、工信部、交通运输部、商务部、海关总署、质检总局等部门联合印发《关于进一步清理和规范进出口环节收费的通知》(简称《通知》)。</w:t>
      </w:r>
    </w:p>
    <w:p>
      <w:r>
        <w:t xml:space="preserve">《通知》规定清理和规范进出口环节收费的范围是，港口码头、海关、出入境检验检疫等部门单位，以及相关服务、代理经营企业等直接涉及进出口环节的各类收费，包括政府管理的行政事业性收费、政府性基金和经营服务收费，以及实行市场调节价的各种收费。《通知》还明确了清理和规范进出口环节收费主要采取的六项措施：一是降低中央管理的进出口环节部分收费标准。二是统一内、外贸港口收费计费规定。三是建立进出口环节收费目录清单。四是加强收费检查和反垄断执法。五是禁止进出口环节强制服务、指定服务并收费的行为。六是严格落实已出台的政策措施。</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2"/>
      </w:pPr>
      <w:bookmarkStart w:id="79" w:name="其他"/>
      <w:bookmarkEnd w:id="79"/>
      <w:r>
        <w:t xml:space="preserve">其他</w:t>
      </w:r>
    </w:p>
    <w:p>
      <w:pPr>
        <w:pStyle w:val="Heading3"/>
      </w:pPr>
      <w:bookmarkStart w:id="80" w:name="刑法修正案九对现行刑法作出重要修改"/>
      <w:bookmarkEnd w:id="80"/>
      <w:r>
        <w:t xml:space="preserve">刑法修正案（九）对现行刑法作出重要修改</w:t>
      </w:r>
    </w:p>
    <w:p>
      <w:r>
        <w:t xml:space="preserve">近日，十二届全国人大常委会第十六次会议表决通过了《中华人民共和国刑法修正案（九）》（简称《修正案（九）》），自2015年11月1日起施行。</w:t>
      </w:r>
    </w:p>
    <w:p>
      <w:r>
        <w:t xml:space="preserve">根据《修正案（九）》，走私武器、弹药罪，走私核材料罪，走私假币罪，伪造货币罪，集资诈骗罪，组织卖淫罪，强迫卖淫罪，阻碍执行军事职务罪，战时造谣惑众罪9个死刑罪名被取消。《修正案（九）》规定，贪污犯罪被判处死刑缓期执行的，人民法院根据犯罪情节等情况可以同时决定在其死刑缓期执行二年期满依法减为无期徒刑后，终身监禁，不得减刑、假释。此外，《修正案（九）》还取消了嫖宿幼女罪。并修改了关于收买被拐卖的妇女、儿童行为的条款，收买被拐卖的妇女、儿童今后一律不能免除刑罚。</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83">
        <w:r>
          <w:rPr>
            <w:rStyle w:val="Link"/>
          </w:rPr>
          <w:t xml:space="preserve">unsubscribe@charltonslaw.com</w:t>
        </w:r>
      </w:hyperlink>
    </w:p>
    <w:p>
      <w:r>
        <w:rPr>
          <w:b/>
        </w:rPr>
        <w:t xml:space="preserve">易周律师行 - 法讯 - 中国 - 第470期 - 2015年09月08日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8e3478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82" Target="18.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70" Target="http://epaper.stcn.com/paper/zqsb/html/2015-08/31/content_728441.htm" TargetMode="External" /><Relationship Type="http://schemas.openxmlformats.org/officeDocument/2006/relationships/hyperlink" Id="rId67" Target="http://epaper.stcn.com/paper/zqsb/html/2015-09/01/content_728898.htm" TargetMode="External" /><Relationship Type="http://schemas.openxmlformats.org/officeDocument/2006/relationships/hyperlink" Id="rId38" Target="http://szs.mof.gov.cn/zhengwuxinxi/zhengcefabu/201508/t20150828_1440259.html" TargetMode="External" /><Relationship Type="http://schemas.openxmlformats.org/officeDocument/2006/relationships/hyperlink" Id="rId32" Target="http://szs.mof.gov.cn/zhengwuxinxi/zhengcefabu/201509/t20150901_1445380.html" TargetMode="External" /><Relationship Type="http://schemas.openxmlformats.org/officeDocument/2006/relationships/hyperlink" Id="rId51" Target="http://www.aqsiq.gov.cn/xxgk_13386/jlgg_12538/zjl/2015/201509/t20150901_448248.htm" TargetMode="External" /><Relationship Type="http://schemas.openxmlformats.org/officeDocument/2006/relationships/hyperlink" Id="rId21" Target="http://www.charltonslaw.com.cn/china-news-alerts-cn-issue-470/" TargetMode="External" /><Relationship Type="http://schemas.openxmlformats.org/officeDocument/2006/relationships/hyperlink" Id="rId35" Target="http://www.chinatax.gov.cn/n810341/n810755/c1789546/content.html" TargetMode="External" /><Relationship Type="http://schemas.openxmlformats.org/officeDocument/2006/relationships/hyperlink" Id="rId28" Target="http://www.gov.cn/zhengce/2015-08/30/content_2922393.htm" TargetMode="External" /><Relationship Type="http://schemas.openxmlformats.org/officeDocument/2006/relationships/hyperlink" Id="rId60" Target="http://www.gov.cn/zhengce/content/2015-08/28/content_10124.htm" TargetMode="External" /><Relationship Type="http://schemas.openxmlformats.org/officeDocument/2006/relationships/hyperlink" Id="rId45" Target="http://www.mlr.gov.cn/zwgk/zytz/201509/t20150901_1365420.htm" TargetMode="External" /><Relationship Type="http://schemas.openxmlformats.org/officeDocument/2006/relationships/hyperlink" Id="rId25" Target="http://www.mof.gov.cn/zhengwuxinxi/caizhengxinwen/201509/t20150901_1444427.html" TargetMode="External" /><Relationship Type="http://schemas.openxmlformats.org/officeDocument/2006/relationships/hyperlink" Id="rId74" Target="http://www.mofcom.gov.cn/article/b/e/201508/20150801096984.shtml" TargetMode="External" /><Relationship Type="http://schemas.openxmlformats.org/officeDocument/2006/relationships/hyperlink" Id="rId42" Target="http://www.ndrc.gov.cn/zcfb/zcfbtz/201509/t20150902_750025.html" TargetMode="External" /><Relationship Type="http://schemas.openxmlformats.org/officeDocument/2006/relationships/hyperlink" Id="rId63" Target="http://www.nhfpc.gov.cn/yzygj/s3593/201508/f0fdf1f52df14b87aa97be53819f1036.shtml" TargetMode="External" /><Relationship Type="http://schemas.openxmlformats.org/officeDocument/2006/relationships/hyperlink" Id="rId57" Target="http://www.npc.gov.cn/npc/xinwen/2015-08/31/content_1945589.htm" TargetMode="External" /><Relationship Type="http://schemas.openxmlformats.org/officeDocument/2006/relationships/hyperlink" Id="rId54" Target="http://www.npc.gov.cn/npc/xinwen/2015-08/31/content_1945591.htm" TargetMode="External" /><Relationship Type="http://schemas.openxmlformats.org/officeDocument/2006/relationships/hyperlink" Id="rId48" Target="http://www.sda.gov.cn/WS01/CL0050/128282.html" TargetMode="External" /><Relationship Type="http://schemas.openxmlformats.org/officeDocument/2006/relationships/hyperlink" Id="rId77" Target="http://www.sdpc.gov.cn/zcfb/zcfbtz/201509/t20150902_750039.html" TargetMode="External" /><Relationship Type="http://schemas.openxmlformats.org/officeDocument/2006/relationships/hyperlink" Id="rId81" Target="http://www.spp.gov.cn/zdgz/201508/t20150830_103800.shtml" TargetMode="External" /><Relationship Type="http://schemas.openxmlformats.org/officeDocument/2006/relationships/hyperlink" Id="rId83"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5"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8" Target="14.pdf" TargetMode="External" /><Relationship Type="http://schemas.openxmlformats.org/officeDocument/2006/relationships/hyperlink" Id="rId71" Target="15.pdf" TargetMode="External" /><Relationship Type="http://schemas.openxmlformats.org/officeDocument/2006/relationships/hyperlink" Id="rId75" Target="16.pdf" TargetMode="External" /><Relationship Type="http://schemas.openxmlformats.org/officeDocument/2006/relationships/hyperlink" Id="rId78" Target="17.pdf" TargetMode="External" /><Relationship Type="http://schemas.openxmlformats.org/officeDocument/2006/relationships/hyperlink" Id="rId82" Target="18.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39" Target="5.pdf" TargetMode="External" /><Relationship Type="http://schemas.openxmlformats.org/officeDocument/2006/relationships/hyperlink" Id="rId43" Target="6.pdf" TargetMode="External" /><Relationship Type="http://schemas.openxmlformats.org/officeDocument/2006/relationships/hyperlink" Id="rId46" Target="7.pdf" TargetMode="External" /><Relationship Type="http://schemas.openxmlformats.org/officeDocument/2006/relationships/hyperlink" Id="rId49" Target="8.pdf" TargetMode="External" /><Relationship Type="http://schemas.openxmlformats.org/officeDocument/2006/relationships/hyperlink" Id="rId52" Target="9.pdf" TargetMode="External" /><Relationship Type="http://schemas.openxmlformats.org/officeDocument/2006/relationships/hyperlink" Id="rId70" Target="http://epaper.stcn.com/paper/zqsb/html/2015-08/31/content_728441.htm" TargetMode="External" /><Relationship Type="http://schemas.openxmlformats.org/officeDocument/2006/relationships/hyperlink" Id="rId67" Target="http://epaper.stcn.com/paper/zqsb/html/2015-09/01/content_728898.htm" TargetMode="External" /><Relationship Type="http://schemas.openxmlformats.org/officeDocument/2006/relationships/hyperlink" Id="rId38" Target="http://szs.mof.gov.cn/zhengwuxinxi/zhengcefabu/201508/t20150828_1440259.html" TargetMode="External" /><Relationship Type="http://schemas.openxmlformats.org/officeDocument/2006/relationships/hyperlink" Id="rId32" Target="http://szs.mof.gov.cn/zhengwuxinxi/zhengcefabu/201509/t20150901_1445380.html" TargetMode="External" /><Relationship Type="http://schemas.openxmlformats.org/officeDocument/2006/relationships/hyperlink" Id="rId51" Target="http://www.aqsiq.gov.cn/xxgk_13386/jlgg_12538/zjl/2015/201509/t20150901_448248.htm" TargetMode="External" /><Relationship Type="http://schemas.openxmlformats.org/officeDocument/2006/relationships/hyperlink" Id="rId21" Target="http://www.charltonslaw.com.cn/china-news-alerts-cn-issue-470/" TargetMode="External" /><Relationship Type="http://schemas.openxmlformats.org/officeDocument/2006/relationships/hyperlink" Id="rId35" Target="http://www.chinatax.gov.cn/n810341/n810755/c1789546/content.html" TargetMode="External" /><Relationship Type="http://schemas.openxmlformats.org/officeDocument/2006/relationships/hyperlink" Id="rId28" Target="http://www.gov.cn/zhengce/2015-08/30/content_2922393.htm" TargetMode="External" /><Relationship Type="http://schemas.openxmlformats.org/officeDocument/2006/relationships/hyperlink" Id="rId60" Target="http://www.gov.cn/zhengce/content/2015-08/28/content_10124.htm" TargetMode="External" /><Relationship Type="http://schemas.openxmlformats.org/officeDocument/2006/relationships/hyperlink" Id="rId45" Target="http://www.mlr.gov.cn/zwgk/zytz/201509/t20150901_1365420.htm" TargetMode="External" /><Relationship Type="http://schemas.openxmlformats.org/officeDocument/2006/relationships/hyperlink" Id="rId25" Target="http://www.mof.gov.cn/zhengwuxinxi/caizhengxinwen/201509/t20150901_1444427.html" TargetMode="External" /><Relationship Type="http://schemas.openxmlformats.org/officeDocument/2006/relationships/hyperlink" Id="rId74" Target="http://www.mofcom.gov.cn/article/b/e/201508/20150801096984.shtml" TargetMode="External" /><Relationship Type="http://schemas.openxmlformats.org/officeDocument/2006/relationships/hyperlink" Id="rId42" Target="http://www.ndrc.gov.cn/zcfb/zcfbtz/201509/t20150902_750025.html" TargetMode="External" /><Relationship Type="http://schemas.openxmlformats.org/officeDocument/2006/relationships/hyperlink" Id="rId63" Target="http://www.nhfpc.gov.cn/yzygj/s3593/201508/f0fdf1f52df14b87aa97be53819f1036.shtml" TargetMode="External" /><Relationship Type="http://schemas.openxmlformats.org/officeDocument/2006/relationships/hyperlink" Id="rId57" Target="http://www.npc.gov.cn/npc/xinwen/2015-08/31/content_1945589.htm" TargetMode="External" /><Relationship Type="http://schemas.openxmlformats.org/officeDocument/2006/relationships/hyperlink" Id="rId54" Target="http://www.npc.gov.cn/npc/xinwen/2015-08/31/content_1945591.htm" TargetMode="External" /><Relationship Type="http://schemas.openxmlformats.org/officeDocument/2006/relationships/hyperlink" Id="rId48" Target="http://www.sda.gov.cn/WS01/CL0050/128282.html" TargetMode="External" /><Relationship Type="http://schemas.openxmlformats.org/officeDocument/2006/relationships/hyperlink" Id="rId77" Target="http://www.sdpc.gov.cn/zcfb/zcfbtz/201509/t20150902_750039.html" TargetMode="External" /><Relationship Type="http://schemas.openxmlformats.org/officeDocument/2006/relationships/hyperlink" Id="rId81" Target="http://www.spp.gov.cn/zdgz/201508/t20150830_103800.shtml" TargetMode="External" /><Relationship Type="http://schemas.openxmlformats.org/officeDocument/2006/relationships/hyperlink" Id="rId83"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第470期 - 2015年09月08日</dc:title>
  <dc:creator/>
</cp:coreProperties>
</file>