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第478期</w:t>
      </w:r>
      <w:r>
        <w:t xml:space="preserve"> </w:t>
      </w:r>
      <w:r>
        <w:t xml:space="preserve">-</w:t>
      </w:r>
      <w:r>
        <w:t xml:space="preserve"> </w:t>
      </w:r>
      <w:r>
        <w:t xml:space="preserve">2015年11月24日</w:t>
      </w:r>
    </w:p>
    <w:p>
      <w:hyperlink r:id="rId21">
        <w:r>
          <w:rPr>
            <w:rStyle w:val="Link"/>
          </w:rPr>
          <w:t xml:space="preserve">网络版</w:t>
        </w:r>
      </w:hyperlink>
    </w:p>
    <w:p>
      <w:pPr>
        <w:pStyle w:val="Heading1"/>
      </w:pPr>
      <w:bookmarkStart w:id="22" w:name="中国法讯第478期"/>
      <w:bookmarkEnd w:id="22"/>
      <w:r>
        <w:t xml:space="preserve">中国法讯第478期</w:t>
      </w:r>
    </w:p>
    <w:p>
      <w:pPr>
        <w:pStyle w:val="Heading2"/>
      </w:pPr>
      <w:bookmarkStart w:id="23" w:name="资本市场"/>
      <w:bookmarkEnd w:id="23"/>
      <w:r>
        <w:t xml:space="preserve">资本市场</w:t>
      </w:r>
    </w:p>
    <w:p>
      <w:pPr>
        <w:pStyle w:val="Heading3"/>
      </w:pPr>
      <w:bookmarkStart w:id="24" w:name="上交所深交所提高融资保证金比例"/>
      <w:bookmarkEnd w:id="24"/>
      <w:r>
        <w:t xml:space="preserve">上交所、深交所提高融资保证金比例</w:t>
      </w:r>
    </w:p>
    <w:p>
      <w:r>
        <w:t xml:space="preserve">日前，经证监会批准，上交所发布《关于修改〈上海证券交易所融资融券交易实施细则（2015年修订）〉第三十八条的通知》；深交所发布《关于修改〈深圳证券交易所融资融券交易实施细则（2015年修订）〉第4.5条的通知》（统称《通知》），自2015年11月23日起实施。</w:t>
      </w:r>
    </w:p>
    <w:p>
      <w:r>
        <w:t xml:space="preserve">《通知》所称融资保证金比例，是指投资者融资买入时交付的保证金与融资交易金额的比例。《通知》对融资融券交易实施细则进行了修改，将投资者融资买入证券时的融资保证金最低比例由50%提高至100%。同时，此次调整仅限于新开融资合约，调整后的《实施细则》实施前已存续的融资融券合约仍按调整前的相关规定执行。</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p>
    <w:p>
      <w:pPr>
        <w:pStyle w:val="Heading3"/>
      </w:pPr>
      <w:bookmarkStart w:id="29" w:name="中欧国际交易所在德开业"/>
      <w:bookmarkEnd w:id="29"/>
      <w:r>
        <w:t xml:space="preserve">中欧国际交易所在德开业</w:t>
      </w:r>
    </w:p>
    <w:p>
      <w:r>
        <w:t xml:space="preserve">11月18日，由上海证券交易所、德意志交易所集团、中国金融期货交易所共同出资成立的中欧国际交易所在德国金融之都法兰克福开业，首批上线产品包括交易所交易基金（ETF）和人民币债券，已在德交所挂牌的12只中国市场相关ETF及180多只人民币债券也将一并转移至中欧所的交易平台。</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央行下调slf利率"/>
      <w:bookmarkEnd w:id="32"/>
      <w:r>
        <w:t xml:space="preserve">央行下调SLF利率</w:t>
      </w:r>
    </w:p>
    <w:p>
      <w:r>
        <w:t xml:space="preserve">11月19日，央行发布公告，决定于11月20日下调分支行常备借贷便利（SLF）利率，对符合宏观审慎要求的地方法人金融机构，隔夜、7天SLF分别调整为2.75%、3.25%。</w:t>
      </w:r>
    </w:p>
    <w:p>
      <w:r>
        <w:t xml:space="preserve">央行表示，调整旨在加快建设适应市场需求的利率形成和调控机制，探索常备借贷便利发挥利率走廊上限的作用，同时结合了当前流动性形势和货币政策调控需要。</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税务"/>
      <w:bookmarkEnd w:id="35"/>
      <w:r>
        <w:t xml:space="preserve">税务</w:t>
      </w:r>
    </w:p>
    <w:p>
      <w:pPr>
        <w:pStyle w:val="Heading3"/>
      </w:pPr>
      <w:bookmarkStart w:id="36" w:name="国税总局制发减免税政策代码目录"/>
      <w:bookmarkEnd w:id="36"/>
      <w:r>
        <w:t xml:space="preserve">国税总局制发《减免税政策代码目录》</w:t>
      </w:r>
    </w:p>
    <w:p>
      <w:r>
        <w:t xml:space="preserve">近日，国税总局下发《减免税政策代码目录》（下称《目录》）。</w:t>
      </w:r>
    </w:p>
    <w:p>
      <w:r>
        <w:t xml:space="preserve">《目录》对税收法律法规规定、国务院制定或经其批准，由财政部、国税总局等中央部门发布的减免税政策及条款，按收入种类（包含增值税、消费税、营业税、企业所得税等）和政策优惠的领域类别，分别赋予减免性质代码及减免项目名称。税务机关及纳税人办理减免税申报、备案、核准、减免退税等业务事项时，检索相应的减免性质代码及减免项目名称，填报有关表证单书。同时，税总还将根据减免税政策的新增、废止等情况，对《目录》每月定期更新并发布。</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税总调整三证合一涉增值税一般纳税人管理相关事项"/>
      <w:bookmarkEnd w:id="39"/>
      <w:r>
        <w:t xml:space="preserve">税总调整“三证合一”涉增值税一般纳税人管理相关事项</w:t>
      </w:r>
    </w:p>
    <w:p>
      <w:r>
        <w:t xml:space="preserve">近日，国税总局发布《关于“三证合一”登记制度改革涉及增值税一般纳税人管理有关事项的公告》（下称《公告》），自公布之日施行。</w:t>
      </w:r>
    </w:p>
    <w:p>
      <w:r>
        <w:t xml:space="preserve">根据《公告》，主管税务机关在办理增值税一般纳税人登记时，纳税人税务登记证件上不再加盖“增值税一般纳税人”戳记，经税务机关核对后退还纳税人留存的《增值税一般纳税人资格登记表》，可作为证明纳税人具备增值税一般纳税人资格的凭据。同时，《公告》明确，《国家税务总局关于调整增值税一般纳税人管理有关事项的公告》第二条第（一）项中所称的“税务登记证件”，包括纳税人领取的由工商行政管理部门核发的加载法人和其他组织统一社会信用代码的营业执照。</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税总局不动产赠与办税证明资料简化"/>
      <w:bookmarkEnd w:id="42"/>
      <w:r>
        <w:t xml:space="preserve">国税总局：不动产赠与办税证明资料简化</w:t>
      </w:r>
    </w:p>
    <w:p>
      <w:r>
        <w:t xml:space="preserve">日前，国税总局下发《关于进一步简化和规范个人无偿赠与或受赠不动产免征营业税、个人所得税所需证明资料的公告》（下称《公告》），自公布之日施行。</w:t>
      </w:r>
    </w:p>
    <w:p>
      <w:r>
        <w:t xml:space="preserve">《公告》规定，纳税人在办理个人无偿赠与或受赠不动产免征营业税、个人所得税手续时，应报送《个人无偿赠与不动产登记表》、双方当事人的身份证明原件及复印件（继承或接受遗赠的，只须提供继承人或接受遗赠人的身份证明原件及复印件）、房屋所有权证原件及复印件。同时，《公告》明确，属“离婚分割财产”、“亲属之间无偿赠与”、“无偿赠与非亲属抚养或赡养关系人”、“继承或接受遗赠”四类情形之一的，还应分别提交相应证明资料。</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税总制发国税系统政府采购供应商信用管理办法"/>
      <w:bookmarkEnd w:id="45"/>
      <w:r>
        <w:t xml:space="preserve">税总制发《国税系统政府采购供应商信用管理办法》</w:t>
      </w:r>
    </w:p>
    <w:p>
      <w:r>
        <w:t xml:space="preserve">近日，国税总局发布《国税系统政府采购供应商信用管理办法》（下称《办法》），自2016年6月1日起施行。</w:t>
      </w:r>
    </w:p>
    <w:p>
      <w:r>
        <w:t xml:space="preserve">《办法》适用于国税系统批量集中采购项目、电子平台采购项目所有投标和响应供应商，包含信用评价、评价标准、结果应用等内容。《办法》规定，信用评价设置违法违规、项目实施、产品质量、售后服务、基层反映等评价指标，实行定性评价和定量评价相结合，对违法违规问题实行定性评价。同时，《办法》明确，信用评价结果应用以激励守信、惩戒失信为原则，对不同信用等级供应商实行差别管理。其中，连续3年被评为C级信用供应商，责令其从国税系统政府采购电子平台中退出，并报政府采购监管部门备案。</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行业"/>
      <w:bookmarkEnd w:id="48"/>
      <w:r>
        <w:t xml:space="preserve">行业</w:t>
      </w:r>
    </w:p>
    <w:p>
      <w:pPr>
        <w:pStyle w:val="Heading3"/>
      </w:pPr>
      <w:bookmarkStart w:id="49" w:name="四部门印发电动汽车充电基础设施发展指南"/>
      <w:bookmarkEnd w:id="49"/>
      <w:r>
        <w:t xml:space="preserve">四部门印发《电动汽车充电基础设施发展指南》</w:t>
      </w:r>
    </w:p>
    <w:p>
      <w:r>
        <w:t xml:space="preserve">日前，国家发改委等四部门发布《电动汽车充电基础设施发展指南（2015-2020年）》（下称《指南》）。</w:t>
      </w:r>
    </w:p>
    <w:p>
      <w:r>
        <w:t xml:space="preserve">《指南》包括发展目标、重点任务等八部分内容。《指南》提出，到2020年，新增集中式充换电站超过1.2万座，分散式充电桩超过480万个，以满足全国500万辆电动汽车充电需求，并强调优先建设公交、出租及环卫与物流等公共服务领域充电基础设施。为此，《指南》确立如下任务：1、推动充电基础设施体系建设；2、加强配套电网保障能力；3、加快标准完善与技术创新；4、探索可持续商业模式；5、开展相关示范工作。其中，《指南》明确，鼓励探索大型充换电站与商业地产相结合的发展方式，引导商场、超市等商业场所为用户提供辅助充电服务，鼓励充电服务企业与整车企业在销售和售后服务方面创新商业合作模式等。</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工商总局加强和规范网络交易商品质量抽查检验"/>
      <w:bookmarkEnd w:id="52"/>
      <w:r>
        <w:t xml:space="preserve">工商总局加强和规范网络交易商品质量抽查检验</w:t>
      </w:r>
    </w:p>
    <w:p>
      <w:r>
        <w:t xml:space="preserve">近日，国家工商总局发布《关于加强和规范网络交易商品质量抽查检验的意见》（简称《意见》）。</w:t>
      </w:r>
    </w:p>
    <w:p>
      <w:r>
        <w:t xml:space="preserve">根据《意见》，网络商品抽检应当由买样人按照抽检实施方案要求，通过网络交易的方式购买样品和备份样品。收到样品后，由买样人、承检机构人员、工商行政管理执法人员共同拆包查验、对样品和备份样品分别封样，并通知网络商品经营者。同时，《意见》规定，对网络商品经营者及商品信息、网络交易过程要采用网络截屏、电子视频录像等取证手段，予以全程记录。此外，《意见》指出，网络商品抽检结果与线下抽检结果具有同等效力。对经网络商品抽检并依法认定为不合格商品的，应责令被抽样的网络商品经营者立即停止销售；消费者要求退货的，经营者应负责退货。</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瀚蓝环境定增募资9.3亿收购燃气发展"/>
      <w:bookmarkEnd w:id="56"/>
      <w:r>
        <w:t xml:space="preserve">瀚蓝环境定增募资9.3亿收购燃气发展</w:t>
      </w:r>
    </w:p>
    <w:p>
      <w:r>
        <w:t xml:space="preserve">瀚蓝环境11月16日晚间推出非公开发行A股股票暨关联交易预案。根据方案，公司向燃气有限、惟冉投资、赛富通泽非公开发行A股股票不超过7782.43万股，拟募集资金总额不超过9.3亿元。</w:t>
      </w:r>
    </w:p>
    <w:p>
      <w:r>
        <w:t xml:space="preserve">此次非公开发行价格为11.95元/股，向燃气有限发行1924.69万股，向惟冉投资发行5020.92万股，向赛富通泽发行836.82万股。燃气有限以其持有燃气发展价值为2.3亿元的股权认购，其余发行对象以现金认购。</w:t>
      </w:r>
    </w:p>
    <w:p>
      <w:r>
        <w:t xml:space="preserve">募资中的3.86亿元用于购买燃气发展30%股权，4亿元用于建设大连金州新区生活垃圾焚烧发电项目，剩余部分用于偿还部分2016年7月到期的公司债和扣除发行费用。</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得利斯6.3亿并购澳大利亚牛肉公司"/>
      <w:bookmarkEnd w:id="59"/>
      <w:r>
        <w:t xml:space="preserve">得利斯6.3亿并购澳大利亚牛肉公司</w:t>
      </w:r>
    </w:p>
    <w:p>
      <w:r>
        <w:t xml:space="preserve">得利斯11月17日公告，公司拟以1.4亿澳元（约6.3亿元人民币）收购澳大利亚牛肉公司Yolarno Pty Ltd的45%股权。收购完成后，得利斯将对Yolarno Pty Ltd拥有控制权，得利斯也将由猪肉加工扩大到牛肉屠宰、销售等市场领域。</w:t>
      </w:r>
    </w:p>
    <w:p>
      <w:r>
        <w:t xml:space="preserve">根据公告，Yolarno Pty Ltd在2014年财年、2015年财年分别实现净利润1622.08万澳元（约7299万元人民币）、2533.78万澳元（约1.14亿元人民币）。收购完成后，得利斯的盈利能力将大大改观。同时，公司在肉类领域的产业规模将大幅增加，通过对产业链各个环节的资源整合及精细化管理，有助于企业发挥内部协同效应，实现各个业务链之间的相互支持与均衡发展，提升抵抗行业周期性波动风险的能力。</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其他"/>
      <w:bookmarkEnd w:id="62"/>
      <w:r>
        <w:t xml:space="preserve">其他</w:t>
      </w:r>
    </w:p>
    <w:p>
      <w:pPr>
        <w:pStyle w:val="Heading3"/>
      </w:pPr>
      <w:bookmarkStart w:id="63" w:name="国办印发编制自然资源资产负债表试点方案"/>
      <w:bookmarkEnd w:id="63"/>
      <w:r>
        <w:t xml:space="preserve">国办印发《编制自然资源资产负债表试点方案》</w:t>
      </w:r>
    </w:p>
    <w:p>
      <w:r>
        <w:t xml:space="preserve">日前，国务院办公厅下发《编制自然资源资产负债表试点方案》（下称《方案》）。</w:t>
      </w:r>
    </w:p>
    <w:p>
      <w:r>
        <w:t xml:space="preserve">《方案》决定，在内蒙古呼伦贝尔市、浙江湖州市等五市开展编制自然资源资产负债表试点工作。《方案》提出，通过探索编制自然资源资产负债表，推动建立健全科学规范的自然资源统计调查制度，为推进生态文明建设、有效保护和永续利用自然资源提供信息基础、监测预警和决策支持。同时，《方案》明确，核算内容主要包括土地资源、林木资源和水资源，试点地区还可结合当地实际，探索编制矿产资源资产负债表，并对编制的基本方法进行了阐述。此外，《方案》规定，试点工作从2015年11月开始到2016年12月底结束，共分两阶段。</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管公积金出新政-贷款最低额度提升至70万"/>
      <w:bookmarkEnd w:id="66"/>
      <w:r>
        <w:t xml:space="preserve">国管公积金出新政 贷款最低额度提升至70万</w:t>
      </w:r>
    </w:p>
    <w:p>
      <w:r>
        <w:t xml:space="preserve">日前，中央国家机关住房资金管理中心发布《关于调整中央国家机关住房公积金个人贷款措施的通知》（简称《通知》），自印发之日执行。</w:t>
      </w:r>
    </w:p>
    <w:p>
      <w:r>
        <w:t xml:space="preserve">《通知》规定，提高贷款最低额度，二套房贷款时限取消。《通知》还提到，在外地缴存住房公积金的北京户籍的中央单位职工，在北京购买首套自住住房的，可申请使用贷款。借款申请人及其配偶住房公积金月缴存额达到上限的，不再提供工作情况证明。此外，《通知》明确，借款申请人及其配偶有尚未偿还的逾期贷款，或有贷记卡、准贷记卡逾期透支未还的，不予受理贷款申请。借款申请人及其配偶在申请贷款前2年内，其他贷款（不含助学贷款）逾期连续达到3至5期的，其贷款最高额度在北京住房公积金管理委员会公布的贷款最高额度基础上下调20%。</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环保部发布意见加快推动生活方式绿色化"/>
      <w:bookmarkEnd w:id="69"/>
      <w:r>
        <w:t xml:space="preserve">环保部发布意见加快推动生活方式绿色化</w:t>
      </w:r>
    </w:p>
    <w:p>
      <w:r>
        <w:t xml:space="preserve">日前，环保部下发《关于加快推动生活方式绿色化的实施意见》（下称《意见》）。</w:t>
      </w:r>
    </w:p>
    <w:p>
      <w:r>
        <w:t xml:space="preserve">《意见》确立“创新驱动、政策引导”等四项原则，要求强化相关政策机制创新，大力发展节能环保产业，以推广节能环保产品，完善政策机制，促进绿色消费需求。《意见》提出，到2020年，全社会实现生活方式和消费模式向勤俭节约、绿色低碳、文明健康的方向转变。为此，《意见》明确了强化生活方式绿色化理念、制定推动生活方式绿色化的政策措施、引领生活方式向绿色化转变三项任务。其中，《意见》强调，引导企业采用先进的设计理念、使用环保原材料、提高清洁生产水平，促进生产、流通、回收等环节绿色化。</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第478期 - 2015年11月24日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d95df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28" Target="1a.pdf" TargetMode="External" /><Relationship Type="http://schemas.openxmlformats.org/officeDocument/2006/relationships/hyperlink" Id="rId31" Target="2.pdf" TargetMode="External" /><Relationship Type="http://schemas.openxmlformats.org/officeDocument/2006/relationships/hyperlink" Id="rId34"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60" Target="http://epaper.stcn.com/paper/zqsb/html/2015-11/17/content_753254.htm" TargetMode="External" /><Relationship Type="http://schemas.openxmlformats.org/officeDocument/2006/relationships/hyperlink" Id="rId57" Target="http://epaper.stcn.com/paper/zqsb/html/2015-11/17/content_753510.htm" TargetMode="External" /><Relationship Type="http://schemas.openxmlformats.org/officeDocument/2006/relationships/hyperlink" Id="rId30" Target="http://epaper.stcn.com/paper/zqsb/html/epaper/index/content_754322.htm" TargetMode="External" /><Relationship Type="http://schemas.openxmlformats.org/officeDocument/2006/relationships/hyperlink" Id="rId33" Target="http://epaper.stcn.com/paper/zqsb/html/epaper/index/content_754746.htm" TargetMode="External" /><Relationship Type="http://schemas.openxmlformats.org/officeDocument/2006/relationships/hyperlink" Id="rId21" Target="http://www.charltonslaw.com.cn/china-news-alerts-cn-issue-478/" TargetMode="External" /><Relationship Type="http://schemas.openxmlformats.org/officeDocument/2006/relationships/hyperlink" Id="rId37" Target="http://www.chinatax.gov.cn/n810341/n810755/c1895341/content.html" TargetMode="External" /><Relationship Type="http://schemas.openxmlformats.org/officeDocument/2006/relationships/hyperlink" Id="rId40" Target="http://www.chinatax.gov.cn/n810341/n810755/c1895383/content.html" TargetMode="External" /><Relationship Type="http://schemas.openxmlformats.org/officeDocument/2006/relationships/hyperlink" Id="rId43" Target="http://www.chinatax.gov.cn/n810341/n810755/c1895428/content.html" TargetMode="External" /><Relationship Type="http://schemas.openxmlformats.org/officeDocument/2006/relationships/hyperlink" Id="rId46" Target="http://www.chinatax.gov.cn/n810341/n810755/c1904541/content.html" TargetMode="External" /><Relationship Type="http://schemas.openxmlformats.org/officeDocument/2006/relationships/hyperlink" Id="rId64" Target="http://www.gov.cn/zhengce/content/2015-11/17/content_10313.htm" TargetMode="External" /><Relationship Type="http://schemas.openxmlformats.org/officeDocument/2006/relationships/hyperlink" Id="rId53" Target="http://www.saic.gov.cn/zwgk/zyfb/zjwj/xfzbhj/201511/t20151117_164057.html" TargetMode="External" /><Relationship Type="http://schemas.openxmlformats.org/officeDocument/2006/relationships/hyperlink" Id="rId50" Target="http://www.sdpc.gov.cn/gzdt/201511/t20151117_758764.html" TargetMode="External" /><Relationship Type="http://schemas.openxmlformats.org/officeDocument/2006/relationships/hyperlink" Id="rId25" Target="http://www.sse.com.cn/aboutus/hotandd/ssenews/c/c_20151113_4012092.shtml" TargetMode="External" /><Relationship Type="http://schemas.openxmlformats.org/officeDocument/2006/relationships/hyperlink" Id="rId27" Target="http://www.szse.cn/main/aboutus/bsyw/39757621.shtml" TargetMode="External" /><Relationship Type="http://schemas.openxmlformats.org/officeDocument/2006/relationships/hyperlink" Id="rId70" Target="http://www.zhb.gov.cn/gkml/hbb/bwj/201511/t20151116_317156.htm" TargetMode="External" /><Relationship Type="http://schemas.openxmlformats.org/officeDocument/2006/relationships/hyperlink" Id="rId67" Target="http://www.zzz.gov.cn/Info/874533"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28" Target="1a.pdf" TargetMode="External" /><Relationship Type="http://schemas.openxmlformats.org/officeDocument/2006/relationships/hyperlink" Id="rId31" Target="2.pdf" TargetMode="External" /><Relationship Type="http://schemas.openxmlformats.org/officeDocument/2006/relationships/hyperlink" Id="rId34" Target="3.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60" Target="http://epaper.stcn.com/paper/zqsb/html/2015-11/17/content_753254.htm" TargetMode="External" /><Relationship Type="http://schemas.openxmlformats.org/officeDocument/2006/relationships/hyperlink" Id="rId57" Target="http://epaper.stcn.com/paper/zqsb/html/2015-11/17/content_753510.htm" TargetMode="External" /><Relationship Type="http://schemas.openxmlformats.org/officeDocument/2006/relationships/hyperlink" Id="rId30" Target="http://epaper.stcn.com/paper/zqsb/html/epaper/index/content_754322.htm" TargetMode="External" /><Relationship Type="http://schemas.openxmlformats.org/officeDocument/2006/relationships/hyperlink" Id="rId33" Target="http://epaper.stcn.com/paper/zqsb/html/epaper/index/content_754746.htm" TargetMode="External" /><Relationship Type="http://schemas.openxmlformats.org/officeDocument/2006/relationships/hyperlink" Id="rId21" Target="http://www.charltonslaw.com.cn/china-news-alerts-cn-issue-478/" TargetMode="External" /><Relationship Type="http://schemas.openxmlformats.org/officeDocument/2006/relationships/hyperlink" Id="rId37" Target="http://www.chinatax.gov.cn/n810341/n810755/c1895341/content.html" TargetMode="External" /><Relationship Type="http://schemas.openxmlformats.org/officeDocument/2006/relationships/hyperlink" Id="rId40" Target="http://www.chinatax.gov.cn/n810341/n810755/c1895383/content.html" TargetMode="External" /><Relationship Type="http://schemas.openxmlformats.org/officeDocument/2006/relationships/hyperlink" Id="rId43" Target="http://www.chinatax.gov.cn/n810341/n810755/c1895428/content.html" TargetMode="External" /><Relationship Type="http://schemas.openxmlformats.org/officeDocument/2006/relationships/hyperlink" Id="rId46" Target="http://www.chinatax.gov.cn/n810341/n810755/c1904541/content.html" TargetMode="External" /><Relationship Type="http://schemas.openxmlformats.org/officeDocument/2006/relationships/hyperlink" Id="rId64" Target="http://www.gov.cn/zhengce/content/2015-11/17/content_10313.htm" TargetMode="External" /><Relationship Type="http://schemas.openxmlformats.org/officeDocument/2006/relationships/hyperlink" Id="rId53" Target="http://www.saic.gov.cn/zwgk/zyfb/zjwj/xfzbhj/201511/t20151117_164057.html" TargetMode="External" /><Relationship Type="http://schemas.openxmlformats.org/officeDocument/2006/relationships/hyperlink" Id="rId50" Target="http://www.sdpc.gov.cn/gzdt/201511/t20151117_758764.html" TargetMode="External" /><Relationship Type="http://schemas.openxmlformats.org/officeDocument/2006/relationships/hyperlink" Id="rId25" Target="http://www.sse.com.cn/aboutus/hotandd/ssenews/c/c_20151113_4012092.shtml" TargetMode="External" /><Relationship Type="http://schemas.openxmlformats.org/officeDocument/2006/relationships/hyperlink" Id="rId27" Target="http://www.szse.cn/main/aboutus/bsyw/39757621.shtml" TargetMode="External" /><Relationship Type="http://schemas.openxmlformats.org/officeDocument/2006/relationships/hyperlink" Id="rId70" Target="http://www.zhb.gov.cn/gkml/hbb/bwj/201511/t20151116_317156.htm" TargetMode="External" /><Relationship Type="http://schemas.openxmlformats.org/officeDocument/2006/relationships/hyperlink" Id="rId67" Target="http://www.zzz.gov.cn/Info/874533"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第478期 - 2015年11月24日</dc:title>
  <dc:creator/>
</cp:coreProperties>
</file>