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第486期</w:t>
      </w:r>
      <w:r>
        <w:t xml:space="preserve"> </w:t>
      </w:r>
      <w:r>
        <w:t xml:space="preserve">-</w:t>
      </w:r>
      <w:r>
        <w:t xml:space="preserve"> </w:t>
      </w:r>
      <w:r>
        <w:t xml:space="preserve">2016年01月26日</w:t>
      </w:r>
    </w:p>
    <w:p>
      <w:hyperlink r:id="rId21">
        <w:r>
          <w:rPr>
            <w:rStyle w:val="Link"/>
          </w:rPr>
          <w:t xml:space="preserve">网络版</w:t>
        </w:r>
      </w:hyperlink>
    </w:p>
    <w:p>
      <w:pPr>
        <w:pStyle w:val="Heading1"/>
      </w:pPr>
      <w:bookmarkStart w:id="22" w:name="中国法讯第486期"/>
      <w:bookmarkEnd w:id="22"/>
      <w:r>
        <w:t xml:space="preserve">中国法讯第486期</w:t>
      </w:r>
    </w:p>
    <w:p>
      <w:pPr>
        <w:pStyle w:val="Heading2"/>
      </w:pPr>
      <w:bookmarkStart w:id="23" w:name="资本市场"/>
      <w:bookmarkEnd w:id="23"/>
      <w:r>
        <w:t xml:space="preserve">资本市场</w:t>
      </w:r>
    </w:p>
    <w:p>
      <w:pPr>
        <w:pStyle w:val="Heading3"/>
      </w:pPr>
      <w:bookmarkStart w:id="24" w:name="上交所修订信息披露公告类别索引表"/>
      <w:bookmarkEnd w:id="24"/>
      <w:r>
        <w:t xml:space="preserve">上交所修订信息披露公告类别索引表</w:t>
      </w:r>
    </w:p>
    <w:p>
      <w:r>
        <w:t xml:space="preserve">日前，上交所发布《上海证券交易所信息披露公告类别登记指南》（简称《指南》），并修订《上海证券交易所信息披露公告类别索引表》（简称《索引表》），均自发布之日起正式施行。</w:t>
      </w:r>
    </w:p>
    <w:p>
      <w:r>
        <w:t xml:space="preserve">《指南》设3节，分别是“公告类别的设置”、“公告类别的登记”和“公告类别登记常见问题”。其中，“公告类别的设置”和“公告类别的登记”两节主要概括了公告类别设置与登记的基本原则；“公告类别登记常见问题”以问答形式归纳了46个选择公告类别时可能存在的问题。此外，《索引表》的主要修订内容包括：新增公告类别21个，取消公告类别5个，修改一级公告类别1个、二级公告类别8个，将34个公告类别合并为13个。调整后，《索引表》现设一级公告类别36个，二级公告类别412个。</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证券期货业信息系统托管基本要求实施"/>
      <w:bookmarkEnd w:id="27"/>
      <w:r>
        <w:t xml:space="preserve">证券期货业信息系统托管基本要求实施</w:t>
      </w:r>
    </w:p>
    <w:p>
      <w:r>
        <w:t xml:space="preserve">近日，中国证监会发布《证券期货业信息系统托管基本要求》金融行业标准（简称《基本要求》），自公布之日起施行。</w:t>
      </w:r>
    </w:p>
    <w:p>
      <w:r>
        <w:t xml:space="preserve">《基本要求》是以实践为基础，以服务行业发展实际需求为出发点，制定的行业统一的信息系统托管标准。一是能够为业内经营机构选择托管机构提供明确参考，同时为向行业提供托管服务的机构进行系统建设和管理提供指导；二是以“谁控制，谁负责”为原则，明确划分托管方、受托方双方的责任边界，最大程度避免托管业务系统发生故障或事故后产生的纠纷和争议；三是根据托管系统的重要程度对托管要求进行了分级，实现了差异化管理，在充分保证系统安全性、可用性的同时，避免了“一刀切”导致的成本过高和资源浪费等问题。</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税收"/>
      <w:bookmarkEnd w:id="30"/>
      <w:r>
        <w:t xml:space="preserve">税收</w:t>
      </w:r>
    </w:p>
    <w:p>
      <w:pPr>
        <w:pStyle w:val="Heading3"/>
      </w:pPr>
      <w:bookmarkStart w:id="31" w:name="三部门明确公益性捐赠税前扣除资格确认审批调整事项"/>
      <w:bookmarkEnd w:id="31"/>
      <w:r>
        <w:t xml:space="preserve">三部门明确公益性捐赠税前扣除资格确认审批调整事项</w:t>
      </w:r>
    </w:p>
    <w:p>
      <w:r>
        <w:t xml:space="preserve">近日，财政部等三部门发布《关于公益性捐赠税前扣除资格确认审批有关调整事项的通知》（下称《通知》）。</w:t>
      </w:r>
    </w:p>
    <w:p>
      <w:r>
        <w:t xml:space="preserve">根据《通知》，《财政部 国家税务总局 民政部关于公益性捐赠税前扣除有关问题的通知》第六条、第七条停止执行，改由财政、税务、民政等部门结合社会组织登记注册、公益活动情况联合确认公益性捐赠税前扣除资格，并以公告形式发布名单。同时，《通知》规定了公益性社会团体捐赠税前扣除资格确认程序。此外，《通知》强调，相关部门要加强公益性社会团体的后续管理，建立信息公开制度，加大对公益性社会团体的监督检查及违规处罚的力度。</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税总发文明确京津冀范围内纳税人迁移事项"/>
      <w:bookmarkEnd w:id="34"/>
      <w:r>
        <w:t xml:space="preserve">税总发文明确京津冀范围内纳税人迁移事项</w:t>
      </w:r>
    </w:p>
    <w:p>
      <w:r>
        <w:t xml:space="preserve">日前，国税总局发布《关于京津冀范围内纳税人办理跨省（市）迁移有关问题的通知》（下称《通知》）。</w:t>
      </w:r>
    </w:p>
    <w:p>
      <w:r>
        <w:t xml:space="preserve">《通知》要求京津冀税务部门简化纳税人跨省（市）迁移手续，并明确了适用范围、时限要求、业务衔接、业务操作流程等内容，便利企业合理流动。其中，根据《通知》，纳税人在纳税申报期内，提出办理迁移的，在完成当期全部申报并结清已申报税款后，不需经过清算，可以办理有关迁移手续。纳税人在原主管税务机关注销其税务登记或开具《清税证明》后，30日内向迁入地税务机关申报办理税务登记。另外，《通知》还就增值税一般纳税人和新设立的“一照一码”户迁移等做了具体要求。</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2"/>
      </w:pPr>
      <w:bookmarkStart w:id="37" w:name="行业"/>
      <w:bookmarkEnd w:id="37"/>
      <w:r>
        <w:t xml:space="preserve">行业</w:t>
      </w:r>
    </w:p>
    <w:p>
      <w:pPr>
        <w:pStyle w:val="Heading3"/>
      </w:pPr>
      <w:bookmarkStart w:id="38" w:name="财政部明确征收工业企业结构调整专项资金有关问题"/>
      <w:bookmarkEnd w:id="38"/>
      <w:r>
        <w:t xml:space="preserve">财政部明确征收工业企业结构调整专项资金有关问题</w:t>
      </w:r>
    </w:p>
    <w:p>
      <w:r>
        <w:t xml:space="preserve">近日，财政部发布《关于征收工业企业结构调整专项资金有关问题的通知》（下称《通知》），自2016年1月1日起施行。</w:t>
      </w:r>
    </w:p>
    <w:p>
      <w:r>
        <w:t xml:space="preserve">《通知》规定，专项资金在全国范围按照燃煤和可再生能源发电机组上网电量（含市场化交易电量）、燃煤自备电厂自发自用电量和规定的征收标准计征，并列明专项资金征收标准。《通知》明确，专项资金由财政部驻各省财政监察专员办事处负责征收，同时规定了具体征收方式。此外，《通知》还强调，拥有燃煤自备电厂的企业应当准确计量自备电厂自发自用电量，不能准确计量的，由专员办按其所在省份公共燃煤发电机组平均利用小时的1.2倍核定自发自用电量，并计征专项资金。</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3"/>
      </w:pPr>
      <w:bookmarkStart w:id="41" w:name="八部门发布电器电子产品有害物质限制使用管理办法"/>
      <w:bookmarkEnd w:id="41"/>
      <w:r>
        <w:t xml:space="preserve">八部门发布电器电子产品有害物质限制使用管理办法</w:t>
      </w:r>
    </w:p>
    <w:p>
      <w:r>
        <w:t xml:space="preserve">日前，工信部等八部门下发《电器电子产品有害物质限制使用管理办法》（下称《办法》），自2016年7月1日施行。</w:t>
      </w:r>
    </w:p>
    <w:p>
      <w:r>
        <w:t xml:space="preserve">《办法》适用于在中国境内生产、销售和进口电器电子产品。《办法》首先定义了“电器电子产品污染”等术语，进而规定，国家鼓励、支持电器电子产品有害物质限制使用的科学研究、技术开发和国际合作，推广电器电子产品有害物质替代与减量化等技术、装备。《办法》还明确，电器电子产品生产者在生产时，不得违反强制性标准或法律、行政法规和规章规定必须执行的标准，应按电器电子产品有害物质限制使用国家标准或行业标准，采用资源利用率高、易回收处理、有利于环境保护的材料、技术和工艺，限制或者淘汰有害物质在产品中的使用。</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国土部发布不动产登记暂行条例实施细则"/>
      <w:bookmarkEnd w:id="44"/>
      <w:r>
        <w:t xml:space="preserve">国土部发布不动产登记暂行条例实施细则</w:t>
      </w:r>
    </w:p>
    <w:p>
      <w:r>
        <w:t xml:space="preserve">近日，国土资源部公布《不动产登记暂行条例实施细则》(简称《实施细则》)，自公布之日起施行。</w:t>
      </w:r>
    </w:p>
    <w:p>
      <w:r>
        <w:t xml:space="preserve">《实施细则》提出，不动产登记机构受理不动产登记申请后，不动产登记机构还将对不动产所在地进行实地查看。国家实行不动产登记资料依法查询制度。权利人以及利害关系人可以查询、复制其不动产登记资料，但权利人、利害关系人应当到具体办理不动产登记的不动产登记机构申请。此外，《实施细则》还明确，不动产登记资料由不动产登记机构管理，不动产登记机构应当建立不动产登记资料管理制度以及信息安全保密制度，任何单位和个人不得泄露不动产登记信息。</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国家发改委出台互联网绿色生态三年行动实施方案"/>
      <w:bookmarkEnd w:id="47"/>
      <w:r>
        <w:t xml:space="preserve">国家发改委出台“互联网+”绿色生态三年行动实施方案</w:t>
      </w:r>
    </w:p>
    <w:p>
      <w:r>
        <w:t xml:space="preserve">日前，国家发改委办公厅发布《“互联网+”绿色生态三年行动实施方案》（下称《方案》）。</w:t>
      </w:r>
    </w:p>
    <w:p>
      <w:r>
        <w:t xml:space="preserve">《方案》提出，推动互联网与生态文明建设深度融合，完善污染物监测及信息发布系统，形成覆盖主要生态要素的资源环境承载能力动态监测网络，实现生态环境数据的互联互通和开放共享等。为此，《方案》确立了“加强资源环境动态监测”、“大力发展智慧环保”等三个方面24项具体任务，并给出相应时间进度安排。其中，《方案》要求，加强重点用能单位能耗在线监测和大数据分析，在稳步推进试点的基础上扩大范围。同时，《方案》强调，加强企业环保信用数据的采集整理，将企业环保信用记录纳入全国统一信用信息共享交换平台。</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国家发改委发布节能监察办法"/>
      <w:bookmarkEnd w:id="50"/>
      <w:r>
        <w:t xml:space="preserve">国家发改委发布《节能监察办法》</w:t>
      </w:r>
    </w:p>
    <w:p>
      <w:r>
        <w:t xml:space="preserve">近日，国家发改委下发《节能监察办法》（下称《办法》），自2016年3月1日起施行。</w:t>
      </w:r>
    </w:p>
    <w:p>
      <w:r>
        <w:t xml:space="preserve">《办法》在定义“节能监察”的基础上，进而要求，节能监察机构应开展“监督检查被监察单位执行节能法律、法规、规章和强制性节能标准的情况，督促被监察单位依法用能、合理用能，依法处理违法违规行为”等四项工作。同时，《办法》明确，节能监察机构应当建立健全相关保密制度，保守被监察单位的技术和商业秘密。节能监察应包括“执行强制性节能标准的情况”等十项内容。此外，《办法》还对监察方式和法律责任作出规定，指出被监察单位拒绝依法实施的节能监察的，由有处罚权的节能监察机构或委托开展节能监察的单位给予警告，责令限期改正；拒不改正的，处1万元以上3万元以下罚款。</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三部门在燃煤电厂加快推行环境污染第三方治理"/>
      <w:bookmarkEnd w:id="53"/>
      <w:r>
        <w:t xml:space="preserve">三部门：在燃煤电厂加快推行环境污染第三方治理</w:t>
      </w:r>
    </w:p>
    <w:p>
      <w:r>
        <w:t xml:space="preserve">日前，国家发改委等三部门联合发布《关于在燃煤电厂推行环境污染第三方治理的指导意见》（下称《意见》）。</w:t>
      </w:r>
    </w:p>
    <w:p>
      <w:r>
        <w:t xml:space="preserve">《意见》提出，到2020年，燃煤电厂环境污染第三方治理服务范围进一步扩大，全面扩大至三废等环境污染治理领域。根据《意见》，燃煤电厂第三方治理主要分为特许经营和委托运营两种模式。同时，《意见》明确了主要内容及措施，规定燃煤电厂宜采用公开招标或竞争性谈判方式确定具有独立法人资格的环境服务公司，不得设定地域及其他歧视性条件，确定合理的投资及收益水平，避免高价低质、低价低质的恶性竞争。《意见》还强调，燃煤电厂应与确定的环境服务公司签订第三方治理合同，合同应明确污染治理的责任界面，列明第三方治理边界条件和污染治理要求。</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国家煤矿安监局发文推进随机抽查工作"/>
      <w:bookmarkEnd w:id="56"/>
      <w:r>
        <w:t xml:space="preserve">国家煤矿安监局发文推进随机抽查工作</w:t>
      </w:r>
    </w:p>
    <w:p>
      <w:r>
        <w:t xml:space="preserve">近日，国家煤矿安监局下发《关于做好煤矿安全监察随机抽查工作的实施意见》（下称《意见》）。</w:t>
      </w:r>
    </w:p>
    <w:p>
      <w:r>
        <w:t xml:space="preserve">《意见》规定，建立随机抽查对象名录库并每年更新一次。监察周期小于1年（含）的煤矿，应全部纳入当年度抽查对象名录库；监察周期大于1年的煤矿，还应从当年度监察计划之外的煤矿随机抽取不少于10%的比例纳入名录库。同时，《意见》明确，省级煤矿安监局及所属分局编制年度执法计划时，随机抽查煤矿次数不得低于年度执法计划总矿次的30%；月度执法计划中应明确随机抽查的矿次比例。此外，《意见》要求，灾害严重、存在重大违法违规行为记录和列入安全生产“黑名单”的矿井，要确保计划监察的次数和必要的抽查覆盖面。</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两部门分区域实施机动车国五标准"/>
      <w:bookmarkEnd w:id="59"/>
      <w:r>
        <w:t xml:space="preserve">两部门：分区域实施机动车国五标准</w:t>
      </w:r>
    </w:p>
    <w:p>
      <w:r>
        <w:t xml:space="preserve">日前，环保部、工信部发布《关于实施第五阶段机动车排放标准的公告》（下称《公告》），自发布之日实施。</w:t>
      </w:r>
    </w:p>
    <w:p>
      <w:r>
        <w:t xml:space="preserve">《公告》规定：1、东部11省市（京津冀沪粤等）自2016年4月1日起，所有进口、销售和注册登记的轻型汽油车、轻型柴油客车、重型柴油车，须符合国五标准要求。2、全国自2017年1月1日起，所有制造、进口、销售和注册登记的轻型汽油车、重型柴油车，须符合国五标准要求。3、全国自2017年7月1日起，所有制造、进口、销售和注册登记的重型柴油车，须符合国五标准要求。4、全国自2018年1月1日起，所有制造、进口、销售和注册登记的轻型柴油车，须符合国五标准要求。此外，《公告》强调，汽车生产、进口企业应按规定向社会公布其生产、进口机动车车型的排放检验信息等。</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国务院发文促进加工贸易创新发展-延长产业链"/>
      <w:bookmarkEnd w:id="62"/>
      <w:r>
        <w:t xml:space="preserve">国务院发文促进加工贸易创新发展 延长产业链</w:t>
      </w:r>
    </w:p>
    <w:p>
      <w:r>
        <w:t xml:space="preserve">日前，国务院印发《关于促进加工贸易创新发展的若干意见》（简称《意见》）。</w:t>
      </w:r>
    </w:p>
    <w:p>
      <w:r>
        <w:t xml:space="preserve">《意见》提出了加工贸易创新发展的四大任务：一是延长产业链，提升加工贸易在全球价值链中的地位；二是发挥沿海地区示范带动作用，促进转型升级提质增效；三是支持内陆沿边地区承接产业梯度转移，推动区域协调发展；四是引导企业有序开展国际产能合作，统筹国际国内两个市场两种资源。此外，《意见》还要求，要深化加工贸易行政审批改革，建立加工贸易新型管理体系，优化监管方式，加快推进内销便利化，加快海关特殊监管区域整合优化。要完善政策措施，优化发展环境，完善符合我国国情和国际惯例的加工贸易管理法律法规体系，营造有利于制造业发展的舆论环境。</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2"/>
      </w:pPr>
      <w:bookmarkStart w:id="65" w:name="wto"/>
      <w:bookmarkEnd w:id="65"/>
      <w:r>
        <w:t xml:space="preserve">WTO</w:t>
      </w:r>
    </w:p>
    <w:p>
      <w:pPr>
        <w:pStyle w:val="Heading3"/>
      </w:pPr>
      <w:bookmarkStart w:id="66" w:name="国务院批准天津等12城市设立跨境电商综合试验区"/>
      <w:bookmarkEnd w:id="66"/>
      <w:r>
        <w:t xml:space="preserve">国务院批准天津等12城市设立跨境电商综合试验区</w:t>
      </w:r>
    </w:p>
    <w:p>
      <w:r>
        <w:t xml:space="preserve">日前，国务院印发《关于同意在天津等12个城市设立跨境电子商务综合试验区的批复》（简称《批复》）。</w:t>
      </w:r>
    </w:p>
    <w:p>
      <w:r>
        <w:t xml:space="preserve">《批复》同意在天津市、上海市、重庆市、合肥市、郑州市、广州市、成都市、大连市、宁波市、青岛市、深圳市、苏州市等12个城市设立跨境电子商务综合试验区。《批复》要求，要借鉴中国（杭州）跨境电子商务综合试验区的经验和做法，因地制宜，突出本地特色和优势，着力在跨境电子商务企业对企业（B2B）方式相关环节的技术标准、业务流程、监管模式和信息化建设等方面先行先试，为推动全国跨境电子商务发展提供可复制、可推广的经验，用新模式为外贸发展提供新支撑。</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2"/>
      </w:pPr>
      <w:bookmarkStart w:id="69" w:name="并购"/>
      <w:bookmarkEnd w:id="69"/>
      <w:r>
        <w:t xml:space="preserve">并购</w:t>
      </w:r>
    </w:p>
    <w:p>
      <w:pPr>
        <w:pStyle w:val="Heading3"/>
      </w:pPr>
      <w:bookmarkStart w:id="70" w:name="浙江富润拟12亿并购泰一指尚"/>
      <w:bookmarkEnd w:id="70"/>
      <w:r>
        <w:t xml:space="preserve">浙江富润拟12亿并购“泰一指尚”</w:t>
      </w:r>
    </w:p>
    <w:p>
      <w:r>
        <w:t xml:space="preserve">浙江富润1月21日晚间公告，拟以7.51元/股的价格增发1.33亿股，同时支付现金2.02亿元，合计作价12亿元收购泰一指尚100%股权；同时拟以7.51元/股的价格非公开发行股份募集配套资金不超过6亿元，其中公司实际控制人旗下的惠风创投拟认购约4亿元。</w:t>
      </w:r>
    </w:p>
    <w:p>
      <w:r>
        <w:t xml:space="preserve">公告显示，泰一指尚是一家依托于大数据技术，为客户提供互联网营销服务和营销数据分析服务的科技型公司。浙江富润的主营业务将由纺织品、钢管等产品的加工与销售逐渐向大数据和互联网业务领域扩张，有望形成“传统行业+大数据+互联网”的多元化业务构成，优化公司资产结构，支持公司实现产业整合与升级。</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珠江钢琴并购德国百年钢琴厂"/>
      <w:bookmarkEnd w:id="73"/>
      <w:r>
        <w:t xml:space="preserve">珠江钢琴并购德国百年钢琴厂</w:t>
      </w:r>
    </w:p>
    <w:p>
      <w:r>
        <w:t xml:space="preserve">珠江钢琴1月18日晚间公告，拟以自有资金收购Schimmel-Verwaltungs GmbH（舒密尔控股公司）90%股权，收购意向价款约2398.6万欧元（约1.71亿元人民币）。</w:t>
      </w:r>
    </w:p>
    <w:p>
      <w:r>
        <w:t xml:space="preserve">珠江钢琴公告，全资子公司珠江钢琴集团欧洲有限公司近日与Schimmel Pianoforte Beteiligungsgesellschaft mbH &amp; Co KG（舒密尔两合公司）签署了股权收购框架协议，欧洲公司拟以自有资金收购Schimmel KG持有的舒密尔控股90%股权。根据欧洲公司与Schimmel KG拟签署的股权收购框架协议，欧洲公司将以现金收购舒密尔控股90%股权，Schimmel KG保留舒密尔控股10%股权。</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3"/>
      </w:pPr>
      <w:bookmarkStart w:id="76" w:name="宜华健康4亿控股亲和源"/>
      <w:bookmarkEnd w:id="76"/>
      <w:r>
        <w:t xml:space="preserve">宜华健康4亿控股亲和源</w:t>
      </w:r>
    </w:p>
    <w:p>
      <w:r>
        <w:t xml:space="preserve">宜华健康公告拟以4.08亿元收购主营养老服务产业的亲和源股份有限公司58.33%的股份，并借此外延式并购实现在养老产业板块的布局。</w:t>
      </w:r>
    </w:p>
    <w:p>
      <w:r>
        <w:t xml:space="preserve">宜华健康表示，本次交易完成后，公司可以养老社区为核心，拓展养老保险、养老金融、养老旅游、养老服务等多个子版块业务，实现产业链的延伸、占据行业领先位置。</w:t>
      </w:r>
    </w:p>
    <w:p>
      <w:r>
        <w:t xml:space="preserve">亲和源成立于2005年，是一家从事会员制养老社区运营及提供养老服务管理的专业服务公司。目前亲和源主要运行了四条产品线，覆盖养老社区、休闲养老、医疗护理、养老咨询及委托运营等方面。</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Heading3"/>
      </w:pPr>
      <w:bookmarkStart w:id="79" w:name="完美环球120亿收购完美世界"/>
      <w:bookmarkEnd w:id="79"/>
      <w:r>
        <w:t xml:space="preserve">完美环球120亿收购完美世界</w:t>
      </w:r>
    </w:p>
    <w:p>
      <w:r>
        <w:t xml:space="preserve">完美环球1月20日披露重大资产收购预案，拟向完美数字科技、石河子骏扬发行股份，作价120亿元收购实际控制人池宇峰旗下著名游戏公司完美世界。同时，公司拟对池宇峰、员工持股计划等对象发行股票，募集配套资金不超过50亿元，用于影视剧投资、游戏的研发运营与代理等项目。</w:t>
      </w:r>
    </w:p>
    <w:p>
      <w:r>
        <w:t xml:space="preserve">预案显示，完美环球实控人池宇峰持有完美数字科技90%股权，完美数字科技持有完美世界75.02%股权。公司拟以19.53元/股向完美数字科技、石河子骏扬共计发行6.14亿股，收购完美世界100%股权。募集配套资金拟以23.56元/股，向池宇峰、员工持股计划（一）、员工持股计划（二）、招商财富-招商银行-完美 1 号专项资管计划发行不超过2.12亿股。</w:t>
      </w:r>
    </w:p>
    <w:p>
      <w:hyperlink r:id="rId80">
        <w:r>
          <w:rPr>
            <w:rStyle w:val="Link"/>
          </w:rPr>
          <w:t xml:space="preserve">来源</w:t>
        </w:r>
      </w:hyperlink>
      <w:r>
        <w:t xml:space="preserve"> </w:t>
      </w:r>
      <w:r>
        <w:t xml:space="preserve">(</w:t>
      </w:r>
      <w:hyperlink r:id="rId81">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2">
        <w:r>
          <w:rPr>
            <w:rStyle w:val="Link"/>
          </w:rPr>
          <w:t xml:space="preserve">unsubscribe@charltonslaw.com</w:t>
        </w:r>
      </w:hyperlink>
    </w:p>
    <w:p>
      <w:r>
        <w:rPr>
          <w:b/>
        </w:rPr>
        <w:t xml:space="preserve">易周律师行 - 法讯 - 中国 - 第486期 - 2016年01月26日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ef9085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4" Target="13.pdf" TargetMode="External" /><Relationship Type="http://schemas.openxmlformats.org/officeDocument/2006/relationships/hyperlink" Id="rId68"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8" Target="17.pdf" TargetMode="External" /><Relationship Type="http://schemas.openxmlformats.org/officeDocument/2006/relationships/hyperlink" Id="rId81" Target="18.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77" Target="http://epaper.stcn.com/paper/zqsb/html/2016-01/19/content_777458.htm" TargetMode="External" /><Relationship Type="http://schemas.openxmlformats.org/officeDocument/2006/relationships/hyperlink" Id="rId74" Target="http://epaper.stcn.com/paper/zqsb/html/2016-01/19/content_777483.htm" TargetMode="External" /><Relationship Type="http://schemas.openxmlformats.org/officeDocument/2006/relationships/hyperlink" Id="rId80" Target="http://epaper.stcn.com/paper/zqsb/html/2016-01/20/content_778546.htm" TargetMode="External" /><Relationship Type="http://schemas.openxmlformats.org/officeDocument/2006/relationships/hyperlink" Id="rId71" Target="http://epaper.stcn.com/paper/zqsb/html/2016-01/22/content_780858.htm" TargetMode="External" /><Relationship Type="http://schemas.openxmlformats.org/officeDocument/2006/relationships/hyperlink" Id="rId39" Target="http://szs.mof.gov.cn/bgtZaiXianFuWu_1_1_11/mlqd/201601/t20160122_1655180.html" TargetMode="External" /><Relationship Type="http://schemas.openxmlformats.org/officeDocument/2006/relationships/hyperlink" Id="rId21" Target="http://www.charltonslaw.com.cn/china-news-alerts-cn-issue-486/" TargetMode="External" /><Relationship Type="http://schemas.openxmlformats.org/officeDocument/2006/relationships/hyperlink" Id="rId57" Target="http://www.chinasafety.gov.cn/newpage/Contents/Channel_6289/2016/0119/263939/content_263939.htm" TargetMode="External" /><Relationship Type="http://schemas.openxmlformats.org/officeDocument/2006/relationships/hyperlink" Id="rId35" Target="http://www.chinatax.gov.cn/n810341/n810755/c1991275/content.html" TargetMode="External" /><Relationship Type="http://schemas.openxmlformats.org/officeDocument/2006/relationships/hyperlink" Id="rId28" Target="http://www.csrc.gov.cn/pub/zjhpublic/G00306201/201601/t20160115_289952.htm" TargetMode="External" /><Relationship Type="http://schemas.openxmlformats.org/officeDocument/2006/relationships/hyperlink" Id="rId67" Target="http://www.gov.cn/zhengce/content/2016-01/15/content_10605.htm" TargetMode="External" /><Relationship Type="http://schemas.openxmlformats.org/officeDocument/2006/relationships/hyperlink" Id="rId63" Target="http://www.gov.cn/zhengce/content/2016-01/18/content_5033735.htm" TargetMode="External" /><Relationship Type="http://schemas.openxmlformats.org/officeDocument/2006/relationships/hyperlink" Id="rId42" Target="http://www.miit.gov.cn/n1146295/n1652858/n1652930/n3757016/c4609634/content.html" TargetMode="External" /><Relationship Type="http://schemas.openxmlformats.org/officeDocument/2006/relationships/hyperlink" Id="rId45" Target="http://www.mlr.gov.cn/zwgk/flfg/tdglflfg/201601/t20160115_1395046.htm" TargetMode="External" /><Relationship Type="http://schemas.openxmlformats.org/officeDocument/2006/relationships/hyperlink" Id="rId48" Target="http://www.ndrc.gov.cn/zcfb/zcfbtz/201601/t20160121_771944.html" TargetMode="External" /><Relationship Type="http://schemas.openxmlformats.org/officeDocument/2006/relationships/hyperlink" Id="rId54" Target="http://www.sdpc.gov.cn/gzdt/201601/t20160119_771752.html" TargetMode="External" /><Relationship Type="http://schemas.openxmlformats.org/officeDocument/2006/relationships/hyperlink" Id="rId51" Target="http://www.sdpc.gov.cn/gzdt/201601/t20160120_771916.html" TargetMode="External" /><Relationship Type="http://schemas.openxmlformats.org/officeDocument/2006/relationships/hyperlink" Id="rId25" Target="http://www.sse.com.cn/aboutus/mediacenter/hotandd/c/c_20160121_4038773.shtml" TargetMode="External" /><Relationship Type="http://schemas.openxmlformats.org/officeDocument/2006/relationships/hyperlink" Id="rId32" Target="http://www.ynf.gov.cn/ynczt_model/article.aspx?id=3995157" TargetMode="External" /><Relationship Type="http://schemas.openxmlformats.org/officeDocument/2006/relationships/hyperlink" Id="rId60" Target="http://www.zhb.gov.cn/gkml/hbb/bgg/201601/t20160118_326596.htm" TargetMode="External" /><Relationship Type="http://schemas.openxmlformats.org/officeDocument/2006/relationships/hyperlink" Id="rId8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4" Target="13.pdf" TargetMode="External" /><Relationship Type="http://schemas.openxmlformats.org/officeDocument/2006/relationships/hyperlink" Id="rId68"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8" Target="17.pdf" TargetMode="External" /><Relationship Type="http://schemas.openxmlformats.org/officeDocument/2006/relationships/hyperlink" Id="rId81" Target="18.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77" Target="http://epaper.stcn.com/paper/zqsb/html/2016-01/19/content_777458.htm" TargetMode="External" /><Relationship Type="http://schemas.openxmlformats.org/officeDocument/2006/relationships/hyperlink" Id="rId74" Target="http://epaper.stcn.com/paper/zqsb/html/2016-01/19/content_777483.htm" TargetMode="External" /><Relationship Type="http://schemas.openxmlformats.org/officeDocument/2006/relationships/hyperlink" Id="rId80" Target="http://epaper.stcn.com/paper/zqsb/html/2016-01/20/content_778546.htm" TargetMode="External" /><Relationship Type="http://schemas.openxmlformats.org/officeDocument/2006/relationships/hyperlink" Id="rId71" Target="http://epaper.stcn.com/paper/zqsb/html/2016-01/22/content_780858.htm" TargetMode="External" /><Relationship Type="http://schemas.openxmlformats.org/officeDocument/2006/relationships/hyperlink" Id="rId39" Target="http://szs.mof.gov.cn/bgtZaiXianFuWu_1_1_11/mlqd/201601/t20160122_1655180.html" TargetMode="External" /><Relationship Type="http://schemas.openxmlformats.org/officeDocument/2006/relationships/hyperlink" Id="rId21" Target="http://www.charltonslaw.com.cn/china-news-alerts-cn-issue-486/" TargetMode="External" /><Relationship Type="http://schemas.openxmlformats.org/officeDocument/2006/relationships/hyperlink" Id="rId57" Target="http://www.chinasafety.gov.cn/newpage/Contents/Channel_6289/2016/0119/263939/content_263939.htm" TargetMode="External" /><Relationship Type="http://schemas.openxmlformats.org/officeDocument/2006/relationships/hyperlink" Id="rId35" Target="http://www.chinatax.gov.cn/n810341/n810755/c1991275/content.html" TargetMode="External" /><Relationship Type="http://schemas.openxmlformats.org/officeDocument/2006/relationships/hyperlink" Id="rId28" Target="http://www.csrc.gov.cn/pub/zjhpublic/G00306201/201601/t20160115_289952.htm" TargetMode="External" /><Relationship Type="http://schemas.openxmlformats.org/officeDocument/2006/relationships/hyperlink" Id="rId67" Target="http://www.gov.cn/zhengce/content/2016-01/15/content_10605.htm" TargetMode="External" /><Relationship Type="http://schemas.openxmlformats.org/officeDocument/2006/relationships/hyperlink" Id="rId63" Target="http://www.gov.cn/zhengce/content/2016-01/18/content_5033735.htm" TargetMode="External" /><Relationship Type="http://schemas.openxmlformats.org/officeDocument/2006/relationships/hyperlink" Id="rId42" Target="http://www.miit.gov.cn/n1146295/n1652858/n1652930/n3757016/c4609634/content.html" TargetMode="External" /><Relationship Type="http://schemas.openxmlformats.org/officeDocument/2006/relationships/hyperlink" Id="rId45" Target="http://www.mlr.gov.cn/zwgk/flfg/tdglflfg/201601/t20160115_1395046.htm" TargetMode="External" /><Relationship Type="http://schemas.openxmlformats.org/officeDocument/2006/relationships/hyperlink" Id="rId48" Target="http://www.ndrc.gov.cn/zcfb/zcfbtz/201601/t20160121_771944.html" TargetMode="External" /><Relationship Type="http://schemas.openxmlformats.org/officeDocument/2006/relationships/hyperlink" Id="rId54" Target="http://www.sdpc.gov.cn/gzdt/201601/t20160119_771752.html" TargetMode="External" /><Relationship Type="http://schemas.openxmlformats.org/officeDocument/2006/relationships/hyperlink" Id="rId51" Target="http://www.sdpc.gov.cn/gzdt/201601/t20160120_771916.html" TargetMode="External" /><Relationship Type="http://schemas.openxmlformats.org/officeDocument/2006/relationships/hyperlink" Id="rId25" Target="http://www.sse.com.cn/aboutus/mediacenter/hotandd/c/c_20160121_4038773.shtml" TargetMode="External" /><Relationship Type="http://schemas.openxmlformats.org/officeDocument/2006/relationships/hyperlink" Id="rId32" Target="http://www.ynf.gov.cn/ynczt_model/article.aspx?id=3995157" TargetMode="External" /><Relationship Type="http://schemas.openxmlformats.org/officeDocument/2006/relationships/hyperlink" Id="rId60" Target="http://www.zhb.gov.cn/gkml/hbb/bgg/201601/t20160118_326596.htm" TargetMode="External" /><Relationship Type="http://schemas.openxmlformats.org/officeDocument/2006/relationships/hyperlink" Id="rId8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第486期 - 2016年01月26日</dc:title>
  <dc:creator/>
</cp:coreProperties>
</file>