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第487期</w:t>
      </w:r>
      <w:r>
        <w:t xml:space="preserve"> </w:t>
      </w:r>
      <w:r>
        <w:t xml:space="preserve">-</w:t>
      </w:r>
      <w:r>
        <w:t xml:space="preserve"> </w:t>
      </w:r>
      <w:r>
        <w:t xml:space="preserve">2016年02月01日</w:t>
      </w:r>
    </w:p>
    <w:p>
      <w:hyperlink r:id="rId21">
        <w:r>
          <w:rPr>
            <w:rStyle w:val="Link"/>
          </w:rPr>
          <w:t xml:space="preserve">网络版</w:t>
        </w:r>
      </w:hyperlink>
    </w:p>
    <w:p>
      <w:pPr>
        <w:pStyle w:val="Heading1"/>
      </w:pPr>
      <w:bookmarkStart w:id="22" w:name="中国法讯第487期"/>
      <w:bookmarkEnd w:id="22"/>
      <w:r>
        <w:t xml:space="preserve">中国法讯第487期</w:t>
      </w:r>
    </w:p>
    <w:p>
      <w:pPr>
        <w:pStyle w:val="Heading2"/>
      </w:pPr>
      <w:bookmarkStart w:id="23" w:name="资本市场"/>
      <w:bookmarkEnd w:id="23"/>
      <w:r>
        <w:t xml:space="preserve">资本市场</w:t>
      </w:r>
    </w:p>
    <w:p>
      <w:pPr>
        <w:pStyle w:val="Heading3"/>
      </w:pPr>
      <w:bookmarkStart w:id="24" w:name="证监会印发公司债券年报准则"/>
      <w:bookmarkEnd w:id="24"/>
      <w:r>
        <w:t xml:space="preserve">证监会印发公司债券年报准则</w:t>
      </w:r>
    </w:p>
    <w:p>
      <w:r>
        <w:t xml:space="preserve">近日，证监会发布《公开发行证券的公司信息披露内容与格式准则第38号——公司债券年度报告的内容与格式》（简称《公司债券年报准则》），以及《关于公开发行公司债券的上市公司年度报告披露的补充规定》（简称《补充规定》）。</w:t>
      </w:r>
    </w:p>
    <w:p>
      <w:r>
        <w:t xml:space="preserve">《公司债券年报准则》主要包括以下几方面内容，一是规定了准则的制定依据、适用范围、年报编制和披露的总体要求等。二是规定了年度报告的核心内容和要求，包括公司和相关中介机构简介、公司债券事项、财务和资产情况、业务和公司治理情况、重大事项、财务报告、备查文件目录等。此外，《补充规定》明确，公开发行公司债券的上市公司应在上述年度报告中以专门章节披露“公司债券相关情况”，并明确了披露内容和要求。</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中证协出台证券纠纷调解工作管理办法"/>
      <w:bookmarkEnd w:id="28"/>
      <w:r>
        <w:t xml:space="preserve">中证协出台证券纠纷调解工作管理办法</w:t>
      </w:r>
    </w:p>
    <w:p>
      <w:r>
        <w:t xml:space="preserve">近日，中证协对原《中国证券业协会证券纠纷调解工作管理办法》、《中国证券业协会调解员管理办法》、《中国证券业协会证券纠纷调解规则》进行了修订。修订后，“两法一则”变更为“一法一则”，即《中国证券业协会证券纠纷调解工作管理办法》（简称《办法》）与《中国证券业协会证券纠纷调解规则》，均自发布之日起正式实施。</w:t>
      </w:r>
    </w:p>
    <w:p>
      <w:r>
        <w:t xml:space="preserve">《办法》指出，中证协与地方协会开展证券纠纷调解协作，构建“统一协调、属地调解”的工作机制。此外，中证协成立调解中心负责证券纠纷调解工作的具体组织实施，主要职责是：组织实施证券纠纷调解基本制度，并依据基本制度制定调解工作相关工作规程；负责证券纠纷调解案件的办理等。</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hyperlink r:id="rId31">
        <w:r>
          <w:rPr>
            <w:rStyle w:val="Link"/>
          </w:rPr>
          <w:t xml:space="preserve">副本</w:t>
        </w:r>
      </w:hyperlink>
      <w:r>
        <w:t xml:space="preserve">)</w:t>
      </w:r>
    </w:p>
    <w:p>
      <w:pPr>
        <w:pStyle w:val="Heading3"/>
      </w:pPr>
      <w:bookmarkStart w:id="32" w:name="中证协发布融资担保公司证券市场担保业务规范"/>
      <w:bookmarkEnd w:id="32"/>
      <w:r>
        <w:t xml:space="preserve">中证协发布融资担保公司证券市场担保业务规范</w:t>
      </w:r>
    </w:p>
    <w:p>
      <w:r>
        <w:t xml:space="preserve">近日，中国证券业协会发布《融资担保公司证券市场担保业务规范》（简称《规范》），自发布之日起实施。</w:t>
      </w:r>
    </w:p>
    <w:p>
      <w:r>
        <w:t xml:space="preserve">《规范》指出，融资担保公司开展证券市场担保业务的，可以成为中国证券业协会会员。融资担保公司成为协会会员的，应当具备以下条件：取得融资担保机构经营许可证；经营融资担保业务满三年；注册资本不低于人民币6亿元；跨省、自治区、直辖市设立分支机构的，注册资本不低于人民币10亿元；主体信用评级AA级（含）以上；近三年无重大违法违规行为；协会规定的其他条件。此外，《规范》还强调，担保公司会员从事证券市场担保业务的，应在每年4月30日前通过协会网站和公司网站披露公司概况、公司治理和内部控制、风险管理、资本金构成和资金运用情况。</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2"/>
      </w:pPr>
      <w:bookmarkStart w:id="35" w:name="保险"/>
      <w:bookmarkEnd w:id="35"/>
      <w:r>
        <w:t xml:space="preserve">保险</w:t>
      </w:r>
    </w:p>
    <w:p>
      <w:pPr>
        <w:pStyle w:val="Heading3"/>
      </w:pPr>
      <w:bookmarkStart w:id="36" w:name="保监会发布董事等三类人员任职资格考试管理办法"/>
      <w:bookmarkEnd w:id="36"/>
      <w:r>
        <w:t xml:space="preserve">保监会发布董事等三类人员任职资格考试管理办法</w:t>
      </w:r>
    </w:p>
    <w:p>
      <w:r>
        <w:t xml:space="preserve">日前，保监会发布《保险机构董事、监事和高级管理人员任职资格考试管理暂行办法》（简称《办法》），自印发之日起施行。</w:t>
      </w:r>
    </w:p>
    <w:p>
      <w:r>
        <w:t xml:space="preserve">《办法》提出，任职资格考试成绩1年内有效，考试通过后1年内可以申请核准对应的任职资格，超过1年未提交申请或未予核准，或者任职中断超过1年的，需重新参加考试。《办法》还规定，对已核准任职资格的保险机构董事、监事和高级管理人员，转任同类保险机构同类岗位，无需重新考试；对已核准任职资格的保险机构高级管理人员，在同一保险机构内调任、兼任同级或者下级高级管理人员职务，无需重新考试，但保监会对拟任职务的资格条件有特别规定的除外。</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保监会发文全面推进保险法治建设"/>
      <w:bookmarkEnd w:id="39"/>
      <w:r>
        <w:t xml:space="preserve">保监会发文全面推进保险法治建设</w:t>
      </w:r>
    </w:p>
    <w:p>
      <w:r>
        <w:t xml:space="preserve">日前，保监会发布《中国保监会关于全面推进保险法治建设的指导意见》（简称《指导意见》）。</w:t>
      </w:r>
    </w:p>
    <w:p>
      <w:r>
        <w:t xml:space="preserve">《指导意见》提出，要构建以保险法为核心、以保险行政法规为主干、以规章规范性文件为重要组成的保险法律制度体系；加快重点领域立法，及时制定相关制度规范；提高制度建设质量，增强保险制度的协调性；加强规范性文件管理。在监管执法方面，《指导意见》要求，严格依法行使监管职权，积极推进依法决策，完善监管执法程序，提高行政处罚工作质量。此外，《指导意见》强调，加强保险监管，依法规范保险公司的经营行为和从业人员行为，规范和引导保险公司合规经营、公平竞争，严格遵守和执行法律法规和监管制度。</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税收"/>
      <w:bookmarkEnd w:id="42"/>
      <w:r>
        <w:t xml:space="preserve">税收</w:t>
      </w:r>
    </w:p>
    <w:p>
      <w:pPr>
        <w:pStyle w:val="Heading3"/>
      </w:pPr>
      <w:bookmarkStart w:id="43" w:name="税总公告多边税收征管互助公约生效执行事项"/>
      <w:bookmarkEnd w:id="43"/>
      <w:r>
        <w:t xml:space="preserve">税总公告多边税收征管互助公约生效执行事项</w:t>
      </w:r>
    </w:p>
    <w:p>
      <w:r>
        <w:t xml:space="preserve">近日，国税总局印发《关于〈多边税收征管互助公约〉生效执行的公告》（下称《公告》），自2017年1月1日起与公约同时执行。</w:t>
      </w:r>
    </w:p>
    <w:p>
      <w:r>
        <w:t xml:space="preserve">根据《公告》，公约适用于根据我国法律由税务机关征收管理的税种，具体包括企业所得税、个人所得税、城镇土地使用税、房产税等16个税种。同时，《公告》明确，我国税务机关现阶段与公约其他缔约方之间开展征管协助的形式为情报交换，具体要求按《国家税务总局关于印发〈国际税收情报交换工作规程〉的通知》规定执行。此外，《公告》还列举了属公约批准书中我国声明保留的内容，并规定在我国政府另行通知前，公约暂不适用于香港和澳门。</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税总局制发耕地占用税管理规程"/>
      <w:bookmarkEnd w:id="46"/>
      <w:r>
        <w:t xml:space="preserve">国税总局制发《耕地占用税管理规程》</w:t>
      </w:r>
    </w:p>
    <w:p>
      <w:r>
        <w:t xml:space="preserve">近日，国税总局发布《耕地占用税管理规程（试行）》（下称《规程》），自公布之日起施行。</w:t>
      </w:r>
    </w:p>
    <w:p>
      <w:r>
        <w:t xml:space="preserve">《规程》适用于耕地占用税管理中所涉及的涉税信息管理、纳税认定管理、申报征收管理、减免退税管理和税收风险管理等事项。其中，根据《规程》，属于耕地占用税征税范围的土地包括耕地、园地等四类，凡在中国境内占用应税土地建房或者从事非农业建设的单位和个人为耕地占用税的纳税人，应按《耕地占用税暂行条例》及其细则的规定缴纳耕地占用税。同时，《规程》明确，因污染、取土、采矿塌陷等损毁应税土地的，由造成损毁的单位或者个人缴纳耕地占用税；超过2年未恢复土地原状的，已征税款不予退还。此外，《规程》还列明了不征收耕地占用税的占用土地行为。</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两部门明确农发行涉农贷款营业税优惠政策"/>
      <w:bookmarkEnd w:id="49"/>
      <w:r>
        <w:t xml:space="preserve">两部门明确农发行涉农贷款营业税优惠政策</w:t>
      </w:r>
    </w:p>
    <w:p>
      <w:r>
        <w:t xml:space="preserve">近日，财政部、国税总局联合下发《关于中国农业发展银行涉农贷款营业税优惠政策的通知》（下称《通知》）。</w:t>
      </w:r>
    </w:p>
    <w:p>
      <w:r>
        <w:t xml:space="preserve">根据《通知》，自2016年1月1日至2018年12月31日，对中国农业发展银行总行及其各分支机构提供涉农贷款取得的利息收入减按3%的税率征收营业税。同时，《通知》明确了具体涉农贷款业务清单包括“农村土地流转和规模化经营贷款”、“农业产业化龙头企业贷款”等共计十二类。此外，《通知》规定，享受优惠的纳税人应按《营业税暂行条例》第九条及其他相关规定，单独核算享受营业税减税政策的贷款利息收入；未单独核算的，不得享受相关营业税政策。</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税总修改企业基础信息表等纳税申报表"/>
      <w:bookmarkEnd w:id="52"/>
      <w:r>
        <w:t xml:space="preserve">税总修改企业基础信息表等纳税申报表</w:t>
      </w:r>
    </w:p>
    <w:p>
      <w:r>
        <w:t xml:space="preserve">日前，国税总局发布《关于修改企业所得税年度纳税申报表（A类，2014年版）部分申报表的公告》（下称《公告》），适用于2015年及以后年度企业所得税汇算清缴申报。</w:t>
      </w:r>
    </w:p>
    <w:p>
      <w:r>
        <w:t xml:space="preserve">《公告》对《企业基础信息表》（A000000）及填报说明修改如下：1、“107从事国家非限制和禁止行业”修改为“107从事国家限制或禁止行业”。填报说明修改为“纳税人从事国家限制或禁止行业，选择‘是’，其他选择‘否’”。2、“103所属行业明细代码”填报说明中，判断小型微利企业是否为工业企业内容修改为“所属行业代码为06**至4690，小型微利企业优惠判断为工业企业”，不包括建筑业。同时，根据《公告》，《所得减免优惠明细表》（A107020）第33行“四、符合条件的技术转让项目”填报说明中，删除“全球独占许可”内容。</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两部门明确防汛专用车等三类车辆免征购置税"/>
      <w:bookmarkEnd w:id="55"/>
      <w:r>
        <w:t xml:space="preserve">两部门明确防汛专用车等三类车辆免征购置税</w:t>
      </w:r>
    </w:p>
    <w:p>
      <w:r>
        <w:t xml:space="preserve">日前，财政部、国税总局联合发布《关于2015年防汛专用车免征车辆购置税的通知》、《关于2015年森林消防专用车免征车辆购置税的通知》以及《关于2015年母亲健康快车项目流动医疗车免征车辆购置税的通知》（统称《通知》）。</w:t>
      </w:r>
    </w:p>
    <w:p>
      <w:r>
        <w:t xml:space="preserve">根据《通知》，对“列入各省2015年防汛专用车配置计划，并经国家防汛抗旱总指挥部办公室核定的57辆防汛专用车”、“国家林业局申请的2015年357辆森林消防指挥车、313辆森林消防运兵车和160辆森林消防运水车”、“中国妇女发展基金会2015年申请的159辆用于‘母亲健康快车’项目的流动医疗车”，免征车辆购置税，免税指标使用截止期限均为2016年8月31日。同时，《通知》还规定了购车单位办理车辆购置税纳税申报手续等事宜。</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wto"/>
      <w:bookmarkEnd w:id="58"/>
      <w:r>
        <w:t xml:space="preserve">WTO</w:t>
      </w:r>
    </w:p>
    <w:p>
      <w:pPr>
        <w:pStyle w:val="Heading3"/>
      </w:pPr>
      <w:bookmarkStart w:id="59" w:name="江浙沪将对51国人员实行144小时过境免签"/>
      <w:bookmarkEnd w:id="59"/>
      <w:r>
        <w:t xml:space="preserve">江浙沪将对51国人员实行144小时过境免签</w:t>
      </w:r>
    </w:p>
    <w:p>
      <w:r>
        <w:t xml:space="preserve">近日，公安部发布《中华人民共和国公安部公告》（简称《公告》），自2016年1月30日起实施。</w:t>
      </w:r>
    </w:p>
    <w:p>
      <w:r>
        <w:t xml:space="preserve">根据《公告》，自1月30日起，在上海各开放口岸以及江苏省南京航空口岸、浙江省杭州航空口岸，对51个国家持有效国际旅行证件和144小时内确定日期、座位前往第三国（地区）联程客票的人员，实行过境免办签证政策。此外，《公告》还指出，过境外国人可选择从上海浦东国际机场、虹桥国际机场、上海港国际客运中心、吴淞口国际邮轮港、上海铁路口岸或者南京禄口国际机场、杭州萧山国际机场中任一口岸入境或出境。</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两部门制发会计师事务所审计档案管理办法"/>
      <w:bookmarkEnd w:id="63"/>
      <w:r>
        <w:t xml:space="preserve">两部门制发会计师事务所审计档案管理办法</w:t>
      </w:r>
    </w:p>
    <w:p>
      <w:r>
        <w:t xml:space="preserve">近日，财政部、国家档案局联合发布《会计师事务所审计档案管理办法》（下称《办法》），自2016年7月1日起施行。</w:t>
      </w:r>
    </w:p>
    <w:p>
      <w:r>
        <w:t xml:space="preserve">《办法》适用于在中国境内依法设立的会计师事务所管理审计档案。《办法》在定义“审计档案”基础上，进而规定，会计师事务所不得任意删改已归档的审计档案，可对审计档案作出变动的，应履行必要的程序，并保持完整的变动记录。同时，《办法》明确，会计师事务所应按法律法规和执业准则的规定，结合审计业务性质和审计风险评估情况等因素合理确定审计档案的保管期限，最低不得少于十年。此外，《办法》强调，会计师事务所合并的，合并各方的审计档案应当由合并后的会计师事务所统一管理等。</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务院决定取消六十一项职业资格许可和认定事项"/>
      <w:bookmarkEnd w:id="66"/>
      <w:r>
        <w:t xml:space="preserve">国务院决定取消六十一项职业资格许可和认定事项</w:t>
      </w:r>
    </w:p>
    <w:p>
      <w:r>
        <w:t xml:space="preserve">日前，国务院印发《关于取消一批职业资格许可和认定事项的决定》（简称《决定》），再次公布取消61项职业资格许可和认定事项。</w:t>
      </w:r>
    </w:p>
    <w:p>
      <w:r>
        <w:t xml:space="preserve">《决定》取消的职业资格许可和认定事项中，专业技术人员职业资格有43项，其中准入类5项，水平评价类38项，涉及公路水运工程、民航、考古、物流与采购、石油化工等多个专业领域；技能人员职业资格有18项，均为水平评价类,涉及服务、影视、林业等领域。此外，国务院要求，各地各部门要加强职业资格实施的评估检查，建立事中事后监管机制。人社部要会同有关部门抓紧制定公布国家职业资格目录清单并实行动态调整，在目录之外不得开展职业资格许可和认定工作，逐步建立科学合理的国家职业资格体系。</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并购"/>
      <w:bookmarkEnd w:id="69"/>
      <w:r>
        <w:t xml:space="preserve">并购</w:t>
      </w:r>
    </w:p>
    <w:p>
      <w:pPr>
        <w:pStyle w:val="Heading3"/>
      </w:pPr>
      <w:bookmarkStart w:id="70" w:name="中联重科要约收购美第二大机械制造商特雷克斯"/>
      <w:bookmarkEnd w:id="70"/>
      <w:r>
        <w:t xml:space="preserve">中联重科要约收购美第二大机械制造商特雷克斯</w:t>
      </w:r>
    </w:p>
    <w:p>
      <w:r>
        <w:t xml:space="preserve">中联重科1月28日确认，在过去数月中，已就一项潜在的交易与特雷克斯（Terex Corporation）进行了讨论，并向其董事会提交了收购该公司全部已发行股份的无约束力报价。目前该项交易的讨论正在进行中，中联重科将继续积极推进。</w:t>
      </w:r>
    </w:p>
    <w:p>
      <w:r>
        <w:t xml:space="preserve">公告称，这项交易对于中联重科的战略转型、产业链的延伸和升级、产能及制造成本的国际大协同，是一个很好的机会。更重要的是，该项交易能加速公司全球化战略的落地，同时也将增厚公司业绩。</w:t>
      </w:r>
    </w:p>
    <w:p>
      <w:r>
        <w:t xml:space="preserve">特雷克斯总部位于美国，1991年在纽约证券交易所上市，是仅次于卡特彼勒的美国第二大工程机械制造商，其核心业务涵盖高空作业平台、工程起重机、建筑机械、工业起重机和港口机械、物料处理机械，多个业务板块在全球数一数二。</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南通锻压逾24亿收购三家广告公司"/>
      <w:bookmarkEnd w:id="73"/>
      <w:r>
        <w:t xml:space="preserve">南通锻压逾24亿收购三家广告公司</w:t>
      </w:r>
    </w:p>
    <w:p>
      <w:r>
        <w:t xml:space="preserve">南通锻压1月25日公告，公司拟以19.92元/股发行股份，并以支付现金的方式，购买亿家晶视、北京维卓和上海广润三家广告公司全部股权，合计作价24.73亿元。同时，公司拟以19.92元/股向4名特定投资者发行股份募集配套资金，总额不超过13.54亿元。</w:t>
      </w:r>
    </w:p>
    <w:p>
      <w:r>
        <w:t xml:space="preserve">此次交易完成后，亿家晶视、北京维卓和上海广润将成为南通锻压的全资子公司。南通锻压表示，将整合三家业内优秀的广告企业，打造具备国内领先的集互联网广告精准投放、楼宇视频媒体广告投放和广告整体营销策划为一体的“全媒体整合营销服务”业务板块，有效提升上市公司盈利能力。公司借此也有望由传统制造业切入广告媒体行业，实现业务转型。</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第487期 - 2016年02月01日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199e79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6" Target="1a.pdf" TargetMode="External" /><Relationship Type="http://schemas.openxmlformats.org/officeDocument/2006/relationships/hyperlink" Id="rId27" Target="1b.pdf" TargetMode="External" /><Relationship Type="http://schemas.openxmlformats.org/officeDocument/2006/relationships/hyperlink" Id="rId30" Target="2a.pdf" TargetMode="External" /><Relationship Type="http://schemas.openxmlformats.org/officeDocument/2006/relationships/hyperlink" Id="rId31" Target="2b.pdf" TargetMode="External" /><Relationship Type="http://schemas.openxmlformats.org/officeDocument/2006/relationships/hyperlink" Id="rId34" Target="3.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74" Target="http://epaper.stcn.com/paper/zqsb/html/2016-01/25/content_781727.htm" TargetMode="External" /><Relationship Type="http://schemas.openxmlformats.org/officeDocument/2006/relationships/hyperlink" Id="rId71" Target="http://epaper.stcn.com/paper/zqsb/html/epaper/index/content_783466.htm" TargetMode="External" /><Relationship Type="http://schemas.openxmlformats.org/officeDocument/2006/relationships/hyperlink" Id="rId44" Target="http://gy.gz-n-tax.gov.cn/xxgk/tzgg/201601/t20160126_64716.html" TargetMode="External" /><Relationship Type="http://schemas.openxmlformats.org/officeDocument/2006/relationships/hyperlink" Id="rId64" Target="http://kjs.mof.gov.cn/zhengwuxinxi/zhengcefabu/201601/t20160122_1654866.html" TargetMode="External" /><Relationship Type="http://schemas.openxmlformats.org/officeDocument/2006/relationships/hyperlink" Id="rId50" Target="http://szs.mof.gov.cn/zhengwuxinxi/zhengcefabu/201601/t20160125_1657222.html" TargetMode="External" /><Relationship Type="http://schemas.openxmlformats.org/officeDocument/2006/relationships/hyperlink" Id="rId56" Target="http://szs.mof.gov.cn/zhengwuxinxi/zhengcefabu/201601/t20160127_1658130.html" TargetMode="External" /><Relationship Type="http://schemas.openxmlformats.org/officeDocument/2006/relationships/hyperlink" Id="rId21" Target="http://www.charltonslaw.com.cn/china-news-alerts-cn-issue-487/" TargetMode="External" /><Relationship Type="http://schemas.openxmlformats.org/officeDocument/2006/relationships/hyperlink" Id="rId40" Target="http://www.circ.gov.cn/web/site0/tab5168/info4014364.htm" TargetMode="External" /><Relationship Type="http://schemas.openxmlformats.org/officeDocument/2006/relationships/hyperlink" Id="rId37" Target="http://www.circ.gov.cn/web/site0/tab5168/info4014379.htm" TargetMode="External" /><Relationship Type="http://schemas.openxmlformats.org/officeDocument/2006/relationships/hyperlink" Id="rId25" Target="http://www.csrc.gov.cn/pub/zjhpublic/G00306201/201601/t20160122_290112.htm" TargetMode="External" /><Relationship Type="http://schemas.openxmlformats.org/officeDocument/2006/relationships/hyperlink" Id="rId67" Target="http://www.gov.cn/zhengce/content/2016-01/22/content_5035351.htm" TargetMode="External" /><Relationship Type="http://schemas.openxmlformats.org/officeDocument/2006/relationships/hyperlink" Id="rId53" Target="http://www.gz-n-tax.gov.cn/zcfg/zxwj/201601/t20160125_64678.html" TargetMode="External" /><Relationship Type="http://schemas.openxmlformats.org/officeDocument/2006/relationships/hyperlink" Id="rId60" Target="http://www.mps.gov.cn/n16/n1237/n1342/n803715/4990294.html" TargetMode="External" /><Relationship Type="http://schemas.openxmlformats.org/officeDocument/2006/relationships/hyperlink" Id="rId33" Target="http://www.sac.net.cn/tzgg/201601/t20160122_126989.html" TargetMode="External" /><Relationship Type="http://schemas.openxmlformats.org/officeDocument/2006/relationships/hyperlink" Id="rId29" Target="http://www.sac.net.cn/tzgg/201601/t20160122_126990.html" TargetMode="External" /><Relationship Type="http://schemas.openxmlformats.org/officeDocument/2006/relationships/hyperlink" Id="rId47" Target="http://zfxxgk.fh.gov.cn/auto80/auto94/201601/t20160125_186089.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6" Target="1a.pdf" TargetMode="External" /><Relationship Type="http://schemas.openxmlformats.org/officeDocument/2006/relationships/hyperlink" Id="rId27" Target="1b.pdf" TargetMode="External" /><Relationship Type="http://schemas.openxmlformats.org/officeDocument/2006/relationships/hyperlink" Id="rId30" Target="2a.pdf" TargetMode="External" /><Relationship Type="http://schemas.openxmlformats.org/officeDocument/2006/relationships/hyperlink" Id="rId31" Target="2b.pdf" TargetMode="External" /><Relationship Type="http://schemas.openxmlformats.org/officeDocument/2006/relationships/hyperlink" Id="rId34" Target="3.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74" Target="http://epaper.stcn.com/paper/zqsb/html/2016-01/25/content_781727.htm" TargetMode="External" /><Relationship Type="http://schemas.openxmlformats.org/officeDocument/2006/relationships/hyperlink" Id="rId71" Target="http://epaper.stcn.com/paper/zqsb/html/epaper/index/content_783466.htm" TargetMode="External" /><Relationship Type="http://schemas.openxmlformats.org/officeDocument/2006/relationships/hyperlink" Id="rId44" Target="http://gy.gz-n-tax.gov.cn/xxgk/tzgg/201601/t20160126_64716.html" TargetMode="External" /><Relationship Type="http://schemas.openxmlformats.org/officeDocument/2006/relationships/hyperlink" Id="rId64" Target="http://kjs.mof.gov.cn/zhengwuxinxi/zhengcefabu/201601/t20160122_1654866.html" TargetMode="External" /><Relationship Type="http://schemas.openxmlformats.org/officeDocument/2006/relationships/hyperlink" Id="rId50" Target="http://szs.mof.gov.cn/zhengwuxinxi/zhengcefabu/201601/t20160125_1657222.html" TargetMode="External" /><Relationship Type="http://schemas.openxmlformats.org/officeDocument/2006/relationships/hyperlink" Id="rId56" Target="http://szs.mof.gov.cn/zhengwuxinxi/zhengcefabu/201601/t20160127_1658130.html" TargetMode="External" /><Relationship Type="http://schemas.openxmlformats.org/officeDocument/2006/relationships/hyperlink" Id="rId21" Target="http://www.charltonslaw.com.cn/china-news-alerts-cn-issue-487/" TargetMode="External" /><Relationship Type="http://schemas.openxmlformats.org/officeDocument/2006/relationships/hyperlink" Id="rId40" Target="http://www.circ.gov.cn/web/site0/tab5168/info4014364.htm" TargetMode="External" /><Relationship Type="http://schemas.openxmlformats.org/officeDocument/2006/relationships/hyperlink" Id="rId37" Target="http://www.circ.gov.cn/web/site0/tab5168/info4014379.htm" TargetMode="External" /><Relationship Type="http://schemas.openxmlformats.org/officeDocument/2006/relationships/hyperlink" Id="rId25" Target="http://www.csrc.gov.cn/pub/zjhpublic/G00306201/201601/t20160122_290112.htm" TargetMode="External" /><Relationship Type="http://schemas.openxmlformats.org/officeDocument/2006/relationships/hyperlink" Id="rId67" Target="http://www.gov.cn/zhengce/content/2016-01/22/content_5035351.htm" TargetMode="External" /><Relationship Type="http://schemas.openxmlformats.org/officeDocument/2006/relationships/hyperlink" Id="rId53" Target="http://www.gz-n-tax.gov.cn/zcfg/zxwj/201601/t20160125_64678.html" TargetMode="External" /><Relationship Type="http://schemas.openxmlformats.org/officeDocument/2006/relationships/hyperlink" Id="rId60" Target="http://www.mps.gov.cn/n16/n1237/n1342/n803715/4990294.html" TargetMode="External" /><Relationship Type="http://schemas.openxmlformats.org/officeDocument/2006/relationships/hyperlink" Id="rId33" Target="http://www.sac.net.cn/tzgg/201601/t20160122_126989.html" TargetMode="External" /><Relationship Type="http://schemas.openxmlformats.org/officeDocument/2006/relationships/hyperlink" Id="rId29" Target="http://www.sac.net.cn/tzgg/201601/t20160122_126990.html" TargetMode="External" /><Relationship Type="http://schemas.openxmlformats.org/officeDocument/2006/relationships/hyperlink" Id="rId47" Target="http://zfxxgk.fh.gov.cn/auto80/auto94/201601/t20160125_186089.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第487期 - 2016年02月01日</dc:title>
  <dc:creator/>
</cp:coreProperties>
</file>