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第488期</w:t>
      </w:r>
      <w:r>
        <w:t xml:space="preserve"> </w:t>
      </w:r>
      <w:r>
        <w:t xml:space="preserve">-</w:t>
      </w:r>
      <w:r>
        <w:t xml:space="preserve"> </w:t>
      </w:r>
      <w:r>
        <w:t xml:space="preserve">2016年02月05日</w:t>
      </w:r>
    </w:p>
    <w:p>
      <w:hyperlink r:id="rId21">
        <w:r>
          <w:rPr>
            <w:rStyle w:val="Link"/>
          </w:rPr>
          <w:t xml:space="preserve">网络版</w:t>
        </w:r>
      </w:hyperlink>
    </w:p>
    <w:p>
      <w:pPr>
        <w:pStyle w:val="Heading1"/>
      </w:pPr>
      <w:bookmarkStart w:id="22" w:name="中国法讯第488期"/>
      <w:bookmarkEnd w:id="22"/>
      <w:r>
        <w:t xml:space="preserve">中国法讯第488期</w:t>
      </w:r>
    </w:p>
    <w:p>
      <w:pPr>
        <w:pStyle w:val="Heading2"/>
      </w:pPr>
      <w:bookmarkStart w:id="23" w:name="资本市场"/>
      <w:bookmarkEnd w:id="23"/>
      <w:r>
        <w:t xml:space="preserve">资本市场</w:t>
      </w:r>
    </w:p>
    <w:p>
      <w:pPr>
        <w:pStyle w:val="Heading3"/>
      </w:pPr>
      <w:bookmarkStart w:id="24" w:name="财政部发布中央对地方专项转移支付管理办法"/>
      <w:bookmarkEnd w:id="24"/>
      <w:r>
        <w:t xml:space="preserve">财政部发布中央对地方专项转移支付管理办法</w:t>
      </w:r>
    </w:p>
    <w:p>
      <w:r>
        <w:t xml:space="preserve">近日，财政部下发《中央对地方专项转移支付管理办法》（下称《办法》），自印发之日施行。</w:t>
      </w:r>
    </w:p>
    <w:p>
      <w:r>
        <w:t xml:space="preserve">《办法》包括“设立和调整”、“资金申报、审核和分配”等八部分内容。其中，《办法》规定，设立专项转移支付应符合“有明确的绩效目标、资金需求、资金用途、主管部门和职责分工”等四个条件，并应从严控制设立引导类、救济类、应急类专项。同时，《办法》明确，对分配到企业的专项转移支付资金，还应遵循“创新专项转移支付支持企业发展的方式，逐步减少无偿补助，采取投资基金管理等市场化运作模式，鼓励与金融资本相结合”等规定。此外，《办法》强调，财政部应将专项转移支付资金分配结果在下达专项转移支付预算文件印发后20日内向社会公开，涉及国家秘密的内容除外。</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财政部发文扩大有关政府性基金免征范围"/>
      <w:bookmarkEnd w:id="27"/>
      <w:r>
        <w:t xml:space="preserve">财政部发文扩大有关政府性基金免征范围</w:t>
      </w:r>
    </w:p>
    <w:p>
      <w:r>
        <w:t xml:space="preserve">近日，财政部、国家税务总局发布《关于扩大有关政府性基金免征范围的通知》，自2016年2月1日起，扩大政府性基金免征范围：将免征教育费附加、地方教育附加、水利建设基金的范围，由现行按月纳税的月销售额或营业额不超过3万元（按季度纳税的季度销售额或营业额不超过9万元）的缴纳义务人，扩大到按月纳税的月销售额或营业额不超过10万元（按季度纳税的季度销售额或营业额不超过30万元）的缴纳义务人。</w:t>
      </w:r>
    </w:p>
    <w:p>
      <w:r>
        <w:t xml:space="preserve">此外，财政部还发布《关于取消、停征和整合部分政府性基金项目等有关问题的通知》，经国务院批准，自2016年2月1日起取消、停征和整合有关政府性基金。包括：将新菜地开发建设基金征收标准、育林基金征收标准降为零；停征价格调节基金。</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保险"/>
      <w:bookmarkEnd w:id="30"/>
      <w:r>
        <w:t xml:space="preserve">保险</w:t>
      </w:r>
    </w:p>
    <w:p>
      <w:pPr>
        <w:pStyle w:val="Heading3"/>
      </w:pPr>
      <w:bookmarkStart w:id="31" w:name="保监会发文加强责任保险监管"/>
      <w:bookmarkEnd w:id="31"/>
      <w:r>
        <w:t xml:space="preserve">保监会发文加强责任保险监管</w:t>
      </w:r>
    </w:p>
    <w:p>
      <w:r>
        <w:t xml:space="preserve">近日，保监会印发《责任保险统计制度（试行）》（简称《制度》），《制度》将从2016年5月1日起正式实施，各财产保险公司2016年5月份开始报送2016年4月份报表。</w:t>
      </w:r>
    </w:p>
    <w:p>
      <w:r>
        <w:t xml:space="preserve">根据《制度》，责任保险数据统计主要包括两张报表，即责任保险分险种监管财务报表和责任保险分险种监管业务报表。各表报送频度为月报，各财产保险总公司应于月后15个自然日内报送报表，遇国庆、春节等法定长假可顺延3个自然日。责任保险统计报表通过保监会保险创新业务统计信息系统报送，各表统计数据应当与统信系统数据保持一致。</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保监会印发关于加强互联网平台保证保险业务管理的通知"/>
      <w:bookmarkEnd w:id="34"/>
      <w:r>
        <w:t xml:space="preserve">保监会印发《关于加强互联网平台保证保险业务管理的通知》</w:t>
      </w:r>
    </w:p>
    <w:p>
      <w:r>
        <w:t xml:space="preserve">近日，保监会印发《关于加强互联网平台保证保险业务管理的通知》（简称《通知》）。</w:t>
      </w:r>
    </w:p>
    <w:p>
      <w:r>
        <w:t xml:space="preserve">《通知》拟从以下几方面规范互联网平台保证保险业务：一是要求保险公司严格遵守偿付能力监管要求，确保业务规模与资本实力相匹配。二是要求保险公司审慎选择合作的互联网平台，不得与存在提供增信服务、设立资金池、非法集资等损害国家利益和社会公共利益行为的互联网平台开展合作，同时，严格审核投保人资质。三是规范保险条款设计及费率厘定，明确保险条款在合作的互联网平台相关业务界面进行信息披露的要求。四是要求保险公司建立严格的风险管控机制，加强内控管理及系统管控制度建设，要求保险公司与合作的互联网平台及合作的金融机构实现信息系统有效对接。</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保监会发布关于调整保险业监管费收费标准等有关事项的通知"/>
      <w:bookmarkEnd w:id="37"/>
      <w:r>
        <w:t xml:space="preserve">保监会发布《关于调整保险业监管费收费标准等有关事项的通知》</w:t>
      </w:r>
    </w:p>
    <w:p>
      <w:r>
        <w:t xml:space="preserve">近日，保监会印发《关于调整保险业监管费收费标准等有关事项的通知》（简称《通知》），自2014年1月1日起执行，有效期4年。</w:t>
      </w:r>
    </w:p>
    <w:p>
      <w:r>
        <w:t xml:space="preserve">《通知》具体包括以下方面：一是将原以保险产品为单一收费标准体系调整为以机构和保险产品并行的综合收费体系。二是大幅降低以保费和营业收入为基数的收费标准，进一步减轻企业负担，对因政策调整导致缴费增加的保险机构，采取过渡期内孰低缴费原则，实现机构缴费全面降低。三是继续体现政策扶持，新增对农村保险互助社和新设机构的收费减免。此外，《通知》简化了原有缴费流程，即由原来的季度预缴和年度清缴方式变更为年度一次性缴费方式，同时为保持金融监管机构收费时间的一致性，收费标准有效期调整至2017年。</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行业"/>
      <w:bookmarkEnd w:id="40"/>
      <w:r>
        <w:t xml:space="preserve">行业</w:t>
      </w:r>
    </w:p>
    <w:p>
      <w:pPr>
        <w:pStyle w:val="Heading3"/>
      </w:pPr>
      <w:bookmarkStart w:id="41" w:name="两部门发文调整个人住房贷款政策"/>
      <w:bookmarkEnd w:id="41"/>
      <w:r>
        <w:t xml:space="preserve">两部门发文调整个人住房贷款政策</w:t>
      </w:r>
    </w:p>
    <w:p>
      <w:r>
        <w:t xml:space="preserve">近日，中国人民银行、银监会联合发布《关于调整个人住房贷款政策有关问题的通知》（简称《通知》）。</w:t>
      </w:r>
    </w:p>
    <w:p>
      <w:r>
        <w:t xml:space="preserve">《通知》明确，在不实施“限购”措施的城市，居民家庭首次购买普通住房的商业性个人住房贷款，原则上最低首付款比例为25%，各地可向下浮动5个百分点。同时，对拥有1套住房且相应购房贷款未结清的居民家庭，为改善居住条件再次申请商业性个人住房贷款购买普通住房，最低首付款比例调整为不低于30%。此外，《通知》还要求，银行业金融机构应结合各省级市场利率定价自律机制确定的最低首付款比例要求及本机构商业性个人住房贷款投放政策、风险防控等因素，并根据借款人的信用状况、还款能力等合理确定具体首付款比例和利率水平。</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财政部发文规范中央国有资本经营预算管理"/>
      <w:bookmarkEnd w:id="44"/>
      <w:r>
        <w:t xml:space="preserve">财政部发文规范中央国有资本经营预算管理</w:t>
      </w:r>
    </w:p>
    <w:p>
      <w:r>
        <w:t xml:space="preserve">近日，财政部下发《中央国有资本经营预算管理暂行办法》（下称《办法》），自印发之日起施行。</w:t>
      </w:r>
    </w:p>
    <w:p>
      <w:r>
        <w:t xml:space="preserve">《办法》包括预算收支范围、编制和批复、执行、决算等七部分内容。其中，《办法》规定，中央国有资本经营预算收入是中央部门及中央企业上交，并纳入国有资本经营预算管理的国有资本收益，主要包括“国有独资企业按照规定应当上交国家的利润”等五项。同时，《办法》列明了中央国有资本经营预算支出的编制程序，并要求中央企业按规定应上交的国有资本收益，应当及时、足额上交中央财政，任何部门和单位不得擅自减免中央国有资本经营预算收入。此外，《办法》强调，中央国有资本经营预算支出应按经批复的预算执行，未经批准不得擅自调剂。</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国务院安委会印发安全生产巡查工作制度"/>
      <w:bookmarkEnd w:id="47"/>
      <w:r>
        <w:t xml:space="preserve">国务院安委会印发《安全生产巡查工作制度》</w:t>
      </w:r>
    </w:p>
    <w:p>
      <w:r>
        <w:t xml:space="preserve">近日，国务院安委会下发《安全生产巡查工作制度》（下称《制度》）。</w:t>
      </w:r>
    </w:p>
    <w:p>
      <w:r>
        <w:t xml:space="preserve">根据《制度》，巡查工作的主要内容包括“安全生产规划、职业病防治规划制定和实施情况，加强安全基础建设，坚持标本兼治、综合治理，落实安全投入，实施‘科技强安’，强化安全培训，不断提高安全风险预防控制能力等情况”等9项；巡查工作方式涵盖“以暗查暗访随机抽查等方式进行专项检查”等6种；巡查工作程序包含“经国务院安委会办公室同意后，巡查组应及时向被巡查地区反馈相关巡查情况，指出问题和隐患，有针对性地提出整改意见”等7项。此外，《制度》还要求，建立完善巡查工作机制：一是建立定期巡查机制；二是开展重点约谈工作；三是实行闭环管理。</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交通运输部加强危险化学品港口作业安全监管"/>
      <w:bookmarkEnd w:id="50"/>
      <w:r>
        <w:t xml:space="preserve">交通运输部：加强危险化学品港口作业安全监管</w:t>
      </w:r>
    </w:p>
    <w:p>
      <w:r>
        <w:t xml:space="preserve">近日，交通运输部发布《关于严格落实法律法规要求加强危险化学品港口作业安全监管的若干意见》（简称《若干意见》）。</w:t>
      </w:r>
    </w:p>
    <w:p>
      <w:r>
        <w:t xml:space="preserve">《若干意见》明确了以下几方面内容：一是严格执行安全设施“三同时”制度。未通过安全设施设计审查的危险化学品港口建设项目，一律不得开工建设。二是严格经营许可。包括严把新申请港口经营许可关和严把已取得港口经营许可核查关。三是严格危险化学品作业监督管理。港口行政管理部门要在接到企业的作业报告后24小时内作出是否同意作业的决定。发现与经营许可不一致的不得批准。未经港口行政管理部门批准的，不得进行危险化学品港口作业；未按批准作业的，应立即停止作业，进行整改。四是严格重大危险源管理。严格督促企业履行重大危险源安全管理关。</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国家海洋局发文规范区域建设用海规划"/>
      <w:bookmarkEnd w:id="53"/>
      <w:r>
        <w:t xml:space="preserve">国家海洋局发文规范区域建设用海规划</w:t>
      </w:r>
    </w:p>
    <w:p>
      <w:r>
        <w:t xml:space="preserve">近日，国家海洋局制发《区域建设用海规划管理办法（试行）》（下称《办法》），自印发之日施行。</w:t>
      </w:r>
    </w:p>
    <w:p>
      <w:r>
        <w:t xml:space="preserve">《办法》共6章31条，明确了区域建设用海规划的定义、管理体制、编制、审批和实施等主要内容。其中，《办法》提出，规划编制应遵循规划衔接、陆海统筹、生态优先、集约节约四原则，并规定了规划选址、平面布局等具体要求。规划选址应严格执行生态红线制度，规划新形成的岸线与建设项目之间应留出一定宽度的生态、生活空间，并向公众开放。同时，《办法》强调，规划区内所有用海活动要依法取得海域使用权，办理海洋工程环境影响评价核准文件后方可实施，应重点加强港口、石化及危化品项目的海域使用论证和海洋环境影响评价。</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两部门发文加强防范煤矿重特大事故"/>
      <w:bookmarkEnd w:id="56"/>
      <w:r>
        <w:t xml:space="preserve">两部门发文加强防范煤矿重特大事故</w:t>
      </w:r>
    </w:p>
    <w:p>
      <w:r>
        <w:t xml:space="preserve">日前，安监总局、国家煤矿安监局发布《关于进一步加强煤矿重大灾害防治有效防范重特大事故的通知》（下称《通知》）。</w:t>
      </w:r>
    </w:p>
    <w:p>
      <w:r>
        <w:t xml:space="preserve">《通知》提出“瓦斯防治”等五类防治重点，并强调落实企业主体责任，各煤矿要严格执行《煤矿安全规程》等规定，提出防治措施，制定具体实施方案，建立灾害风险等级管控和隐患排查治理双重预防性工作机制。同时，《通知》明确，煤矿企业要加大煤矿安全生产先进适用技术推广应用力度，依靠科技手段，提高灾害防治效果。此外，《通知》还要求，各级煤矿安监部门对存在《煤矿重大生产安全事故隐患判定标准》中15类重大隐患的矿井，要依法停产整顿；对存在重大灾害隐患不整改、导致发生重特大事故的，依法从严追责。</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并购"/>
      <w:bookmarkEnd w:id="59"/>
      <w:r>
        <w:t xml:space="preserve">并购</w:t>
      </w:r>
    </w:p>
    <w:p>
      <w:pPr>
        <w:pStyle w:val="Heading3"/>
      </w:pPr>
      <w:bookmarkStart w:id="60" w:name="均胜电子逾11亿美元收购海外汽车资产"/>
      <w:bookmarkEnd w:id="60"/>
      <w:r>
        <w:t xml:space="preserve">均胜电子逾11亿美元收购海外汽车资产</w:t>
      </w:r>
    </w:p>
    <w:p>
      <w:r>
        <w:t xml:space="preserve">均胜电子2月3日公告，拟定增募资收购的两项汽车行业海外高端资产，此次收购金额合计超过11亿美元。这也是继收购德国普瑞后，均胜电子再度发力汽车行业内的全球并购。</w:t>
      </w:r>
    </w:p>
    <w:p>
      <w:r>
        <w:t xml:space="preserve">具体而言，公司拟通过新设立的美国全资子公司Knight Merger Inc.（简称“Knight”）合并美国公司KSS Holdings, Inc.（简称“KSS”），该交易的基准合并对价为9.2亿美元；拟与公司控股子公司Preh Holding GmbH共同向德国TechniSat Digital GmbH, Daun（简称“TS道恩”）收购其从事汽车行业模块化信息系统开发和供应、导航辅助驾驶和智能车联的业务，该交易的基准对价为1.8亿欧元。</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远方光电10.2亿收购维尔科技"/>
      <w:bookmarkEnd w:id="63"/>
      <w:r>
        <w:t xml:space="preserve">远方光电10.2亿收购维尔科技</w:t>
      </w:r>
    </w:p>
    <w:p>
      <w:r>
        <w:t xml:space="preserve">远方光电2月2日公告，公司拟通过非公开发行股份和支付现金相结合的方式，购买邹建军、恒生电子等18名交易对方持有的维尔科技100%股权，并募集配套资金不超过3亿元。</w:t>
      </w:r>
    </w:p>
    <w:p>
      <w:r>
        <w:t xml:space="preserve">维尔科技100%股权的整体价值确定为10.2亿元，远方光电以发行股份方式向交易对方合计支付7.14亿元，股票发行价格为15.14元/股，另以现金方式向交易对方合计支付3.06亿元。</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唐人神7.31亿收购两公司"/>
      <w:bookmarkEnd w:id="66"/>
      <w:r>
        <w:t xml:space="preserve">唐人神7.31亿收购两公司</w:t>
      </w:r>
    </w:p>
    <w:p>
      <w:r>
        <w:t xml:space="preserve">唐人神2月5日发布公告，公司拟以10.08元/股发行6022万股，并支付现金12400万元，合计作价7.31亿元，购买龙秋华、龙伟华持有的龙华农牧90%的股权（交易作价44100万元），并收购李职、英联投资等持有的比利美英伟90%的股份(交易作价29000万元)，同时拟不低于10.08元/股非公开发行股份，募集配套资金不超过42000万元。</w:t>
      </w:r>
    </w:p>
    <w:p>
      <w:r>
        <w:t xml:space="preserve">龙华农牧主营业务为生猪的养殖与销售，以提供安全放心肉食品为经营目标，经多年的发展与积累，形成了“自育自繁自养规模集约化”的经营模式，致力于成为中国一流的优质生猪供应商，推动中国生猪养殖业规模化、专业化和标准化生产。比利美英伟是一家以研发、生产、销售猪用饲料为主营业务的高科技农业企业，专注研究猪饲料中的关键营养、关键组分和关键日粮，以乳猪预混料、乳猪浓缩料、乳猪教保料及种猪配合饲料为优势产品，致力做猪关键营养的领跑者。</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9">
        <w:r>
          <w:rPr>
            <w:rStyle w:val="Link"/>
          </w:rPr>
          <w:t xml:space="preserve">unsubscribe@charltonslaw.com</w:t>
        </w:r>
      </w:hyperlink>
    </w:p>
    <w:p>
      <w:r>
        <w:rPr>
          <w:b/>
        </w:rPr>
        <w:t xml:space="preserve">易周律师行 - 法讯 - 中国 - 第488期 - 2016年02月05日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21896d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4" Target="http://epaper.stcn.com/paper/zqsb/html/2016-02/02/content_785585.htm" TargetMode="External" /><Relationship Type="http://schemas.openxmlformats.org/officeDocument/2006/relationships/hyperlink" Id="rId61" Target="http://epaper.stcn.com/paper/zqsb/html/2016-02/03/content_786039.htm" TargetMode="External" /><Relationship Type="http://schemas.openxmlformats.org/officeDocument/2006/relationships/hyperlink" Id="rId67" Target="http://epaper.stcn.com/paper/zqsb/html/epaper/index/content_787121.htm" TargetMode="External" /><Relationship Type="http://schemas.openxmlformats.org/officeDocument/2006/relationships/hyperlink" Id="rId28" Target="http://szs.mof.gov.cn/bgtZaiXianFuWu_1_1_11/mlqd/201601/t20160129_1661788.html" TargetMode="External" /><Relationship Type="http://schemas.openxmlformats.org/officeDocument/2006/relationships/hyperlink" Id="rId21" Target="http://www.charltonslaw.com.cn/china-news-alerts-cn-issue-488/" TargetMode="External" /><Relationship Type="http://schemas.openxmlformats.org/officeDocument/2006/relationships/hyperlink" Id="rId48" Target="http://www.chinasafety.gov.cn/newpage/Contents/Channel_4976/2016/0202/264632/content_264632.htm" TargetMode="External" /><Relationship Type="http://schemas.openxmlformats.org/officeDocument/2006/relationships/hyperlink" Id="rId57" Target="http://www.chinasafety.gov.cn/newpage/Contents/Channel_6288/2016/0204/264678/content_264678.htm" TargetMode="External" /><Relationship Type="http://schemas.openxmlformats.org/officeDocument/2006/relationships/hyperlink" Id="rId35" Target="http://www.circ.gov.cn/web/site0/tab5168/info4014380.htm" TargetMode="External" /><Relationship Type="http://schemas.openxmlformats.org/officeDocument/2006/relationships/hyperlink" Id="rId38" Target="http://www.circ.gov.cn/web/site0/tab5168/info4014930.htm" TargetMode="External" /><Relationship Type="http://schemas.openxmlformats.org/officeDocument/2006/relationships/hyperlink" Id="rId32" Target="http://www.circ.gov.cn/web/site0/tab5168/info4015114.htm" TargetMode="External" /><Relationship Type="http://schemas.openxmlformats.org/officeDocument/2006/relationships/hyperlink" Id="rId42" Target="http://www.pbc.gov.cn/goutongjiaoliu/113456/113469/3014377/index.html" TargetMode="External" /><Relationship Type="http://schemas.openxmlformats.org/officeDocument/2006/relationships/hyperlink" Id="rId54" Target="http://www.soa.gov.cn/zwgk/zcgh/hygl/201602/t20160204_50054.html" TargetMode="External" /><Relationship Type="http://schemas.openxmlformats.org/officeDocument/2006/relationships/hyperlink" Id="rId45" Target="http://yss.mof.gov.cn/zhengwuxinxi/zhengceguizhang/201601/t20160125_1657149.html" TargetMode="External" /><Relationship Type="http://schemas.openxmlformats.org/officeDocument/2006/relationships/hyperlink" Id="rId25" Target="http://yss.mof.gov.cn/zhengwuxinxi/zhengceguizhang/201601/t20160129_1660488.html" TargetMode="External" /><Relationship Type="http://schemas.openxmlformats.org/officeDocument/2006/relationships/hyperlink" Id="rId51" Target="http://zizhan.mot.gov.cn/zfxxgk/bnssj/syj/201601/t20160129_1983883.html" TargetMode="External" /><Relationship Type="http://schemas.openxmlformats.org/officeDocument/2006/relationships/hyperlink" Id="rId69"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4" Target="http://epaper.stcn.com/paper/zqsb/html/2016-02/02/content_785585.htm" TargetMode="External" /><Relationship Type="http://schemas.openxmlformats.org/officeDocument/2006/relationships/hyperlink" Id="rId61" Target="http://epaper.stcn.com/paper/zqsb/html/2016-02/03/content_786039.htm" TargetMode="External" /><Relationship Type="http://schemas.openxmlformats.org/officeDocument/2006/relationships/hyperlink" Id="rId67" Target="http://epaper.stcn.com/paper/zqsb/html/epaper/index/content_787121.htm" TargetMode="External" /><Relationship Type="http://schemas.openxmlformats.org/officeDocument/2006/relationships/hyperlink" Id="rId28" Target="http://szs.mof.gov.cn/bgtZaiXianFuWu_1_1_11/mlqd/201601/t20160129_1661788.html" TargetMode="External" /><Relationship Type="http://schemas.openxmlformats.org/officeDocument/2006/relationships/hyperlink" Id="rId21" Target="http://www.charltonslaw.com.cn/china-news-alerts-cn-issue-488/" TargetMode="External" /><Relationship Type="http://schemas.openxmlformats.org/officeDocument/2006/relationships/hyperlink" Id="rId48" Target="http://www.chinasafety.gov.cn/newpage/Contents/Channel_4976/2016/0202/264632/content_264632.htm" TargetMode="External" /><Relationship Type="http://schemas.openxmlformats.org/officeDocument/2006/relationships/hyperlink" Id="rId57" Target="http://www.chinasafety.gov.cn/newpage/Contents/Channel_6288/2016/0204/264678/content_264678.htm" TargetMode="External" /><Relationship Type="http://schemas.openxmlformats.org/officeDocument/2006/relationships/hyperlink" Id="rId35" Target="http://www.circ.gov.cn/web/site0/tab5168/info4014380.htm" TargetMode="External" /><Relationship Type="http://schemas.openxmlformats.org/officeDocument/2006/relationships/hyperlink" Id="rId38" Target="http://www.circ.gov.cn/web/site0/tab5168/info4014930.htm" TargetMode="External" /><Relationship Type="http://schemas.openxmlformats.org/officeDocument/2006/relationships/hyperlink" Id="rId32" Target="http://www.circ.gov.cn/web/site0/tab5168/info4015114.htm" TargetMode="External" /><Relationship Type="http://schemas.openxmlformats.org/officeDocument/2006/relationships/hyperlink" Id="rId42" Target="http://www.pbc.gov.cn/goutongjiaoliu/113456/113469/3014377/index.html" TargetMode="External" /><Relationship Type="http://schemas.openxmlformats.org/officeDocument/2006/relationships/hyperlink" Id="rId54" Target="http://www.soa.gov.cn/zwgk/zcgh/hygl/201602/t20160204_50054.html" TargetMode="External" /><Relationship Type="http://schemas.openxmlformats.org/officeDocument/2006/relationships/hyperlink" Id="rId45" Target="http://yss.mof.gov.cn/zhengwuxinxi/zhengceguizhang/201601/t20160125_1657149.html" TargetMode="External" /><Relationship Type="http://schemas.openxmlformats.org/officeDocument/2006/relationships/hyperlink" Id="rId25" Target="http://yss.mof.gov.cn/zhengwuxinxi/zhengceguizhang/201601/t20160129_1660488.html" TargetMode="External" /><Relationship Type="http://schemas.openxmlformats.org/officeDocument/2006/relationships/hyperlink" Id="rId51" Target="http://zizhan.mot.gov.cn/zfxxgk/bnssj/syj/201601/t20160129_1983883.html" TargetMode="External" /><Relationship Type="http://schemas.openxmlformats.org/officeDocument/2006/relationships/hyperlink" Id="rId69"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第488期 - 2016年02月05日</dc:title>
  <dc:creator/>
</cp:coreProperties>
</file>