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第489期</w:t>
      </w:r>
      <w:r>
        <w:t xml:space="preserve"> </w:t>
      </w:r>
      <w:r>
        <w:t xml:space="preserve">-</w:t>
      </w:r>
      <w:r>
        <w:t xml:space="preserve"> </w:t>
      </w:r>
      <w:r>
        <w:t xml:space="preserve">2016年02月22日</w:t>
      </w:r>
    </w:p>
    <w:p>
      <w:hyperlink r:id="rId21">
        <w:r>
          <w:rPr>
            <w:rStyle w:val="Link"/>
          </w:rPr>
          <w:t xml:space="preserve">网络版</w:t>
        </w:r>
      </w:hyperlink>
    </w:p>
    <w:p>
      <w:pPr>
        <w:pStyle w:val="Heading1"/>
      </w:pPr>
      <w:bookmarkStart w:id="22" w:name="中国法讯第489期"/>
      <w:bookmarkEnd w:id="22"/>
      <w:r>
        <w:t xml:space="preserve">中国法讯第489期</w:t>
      </w:r>
    </w:p>
    <w:p>
      <w:pPr>
        <w:pStyle w:val="Heading2"/>
      </w:pPr>
      <w:bookmarkStart w:id="23" w:name="资本市场"/>
      <w:bookmarkEnd w:id="23"/>
      <w:r>
        <w:t xml:space="preserve">资本市场</w:t>
      </w:r>
    </w:p>
    <w:p>
      <w:pPr>
        <w:pStyle w:val="Heading3"/>
      </w:pPr>
      <w:bookmarkStart w:id="24" w:name="财政部规范财政资金注资政府投资基金"/>
      <w:bookmarkEnd w:id="24"/>
      <w:r>
        <w:t xml:space="preserve">财政部规范财政资金注资政府投资基金</w:t>
      </w:r>
    </w:p>
    <w:p>
      <w:r>
        <w:t xml:space="preserve">日前，财政部发布《关于财政资金注资政府投资基金支持产业发展的指导意见》（下称《意见》）。</w:t>
      </w:r>
    </w:p>
    <w:p>
      <w:r>
        <w:t xml:space="preserve">《意见》明确，合理运用政府投资基金聚焦支持重点产业，针对产业重点领域和薄弱环节，相机采取创业投资引导基金等形式予以支持。其中：对战略性新兴产业等新兴产业及中小企业，可通过创业投资引导基金，加强资金、技术和市场相融合；对集成电路等战略主导产业及行业龙头企业，可通过产业投资基金直接投资，实现产业重点突破和跨越发展。同时，《意见》要求，结合政府投资基金定位、社会出资人意愿等，设立公司制、合伙制等市场化基金实体。此外，《意见》还强调坚持专业化投资运营等。</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八部门印发金融支持工业稳增长调结构增效益若干意见"/>
      <w:bookmarkEnd w:id="27"/>
      <w:r>
        <w:t xml:space="preserve">八部门印发金融支持工业稳增长调结构增效益若干意见</w:t>
      </w:r>
    </w:p>
    <w:p>
      <w:r>
        <w:t xml:space="preserve">日前，中国人民银行等八部门联合印发《关于金融支持工业稳增长调结构增效益的若干意见》（简称《意见》）。</w:t>
      </w:r>
    </w:p>
    <w:p>
      <w:r>
        <w:t xml:space="preserve">《意见》从加强货币信贷政策支持、营造良好的货币金融环境，提高资本市场、保险市场对工业企业的支持力度，推动工业企业融资机制创新，促进工业企业兼并重组，支持工业企业加快“走出去”，加强风险防范和协调配合等六个方面提出了一系列支持工业转型升级、降本增效的具体金融政策措施。此外，《意见》还提出了重点支持的具体行业和领域，进一步明确了坚决退出淘汰落后产能的政策导向，积极引导金融创新紧密结合工业创新，着力改造工业发展传统动能，积极培养工业发展新动能。</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央行发文规范全国银行间债券市场柜台业务"/>
      <w:bookmarkEnd w:id="30"/>
      <w:r>
        <w:t xml:space="preserve">央行发文规范全国银行间债券市场柜台业务</w:t>
      </w:r>
    </w:p>
    <w:p>
      <w:r>
        <w:t xml:space="preserve">近日，央行发布《全国银行间债券市场柜台业务管理办法》（简称《办法》），自公布之日起执行。</w:t>
      </w:r>
    </w:p>
    <w:p>
      <w:r>
        <w:t xml:space="preserve">根据《办法》，柜台业务的交易品种有所扩大，包括现券买卖、质押式回购、买断式回购以及经央行认可的其他交易品种。其中，柜台业务的债券品种包括经发行人认可的已发行国债、地方政府债券、国家开发银行债券、政策性银行债券和发行对象包括柜台业务投资者的新发行债券。此外，《办法》还规定，国务院及其金融行政管理部门批准设立的金融机构，以及符合相应条件的投资管理机构、企业、个人投资者等可投资柜台业务的全部债券品种和交易品种。</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税收"/>
      <w:bookmarkEnd w:id="33"/>
      <w:r>
        <w:t xml:space="preserve">税收</w:t>
      </w:r>
    </w:p>
    <w:p>
      <w:pPr>
        <w:pStyle w:val="Heading3"/>
      </w:pPr>
      <w:bookmarkStart w:id="34" w:name="国税总局开展商品和服务税收分类与编码试点"/>
      <w:bookmarkEnd w:id="34"/>
      <w:r>
        <w:t xml:space="preserve">国税总局：开展商品和服务税收分类与编码试点</w:t>
      </w:r>
    </w:p>
    <w:p>
      <w:r>
        <w:t xml:space="preserve">日前，国税总局下发《关于开展商品和服务税收分类与编码试点工作的通知》（下称《通知》）。</w:t>
      </w:r>
    </w:p>
    <w:p>
      <w:r>
        <w:t xml:space="preserve">《通知》决定自2016年2月19日起在北京、上海、江苏和广东进行编码推广的试点工作。其中，根据《通知》，2月19日起，试点地区新办增值税纳税人使用具有编码功能的增值税发票系统升级版开具增值税发票；试点地区原增值税纳税人分批完成具有编码功能的增值税发票系统升级版的升级。同时，《通知》明确，纳税人使用具有编码功能的增值税发票系统升级版开具的增值税发票，包括增值税专用发票、增值税普通发票、货物运输业增值税专用发票和机动车销售统一发票。此外，《通知》还规定，试点地区税务机关应自2月19日起组织对增值税纳税人进行系统的安装升级。</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国税总局合理简并纳税人申报缴税次数"/>
      <w:bookmarkEnd w:id="37"/>
      <w:r>
        <w:t xml:space="preserve">国税总局：合理简并纳税人申报缴税次数</w:t>
      </w:r>
    </w:p>
    <w:p>
      <w:r>
        <w:t xml:space="preserve">日前，国税总局下发《关于合理简并纳税人申报缴税次数的公告》（下称《公告》），自4月1日起施行。</w:t>
      </w:r>
    </w:p>
    <w:p>
      <w:r>
        <w:t xml:space="preserve">《公告》规定，增值税小规模纳税人缴纳增值税、消费税、文化事业建设费，以及随增值税、消费税附征的城市维护建设税、教育费附加等税费，原则上实行按季申报，纳税人要求不实行按季申报的，由税务机关据其应纳税额大小核定纳税期限。随增值税、消费税附征的城市维护建设税、教育费附加免于零申报。同时，《公告》明确，符合条件的小型微利企业，实行按季度申报预缴企业所得税。此外，《公告》强调，对于采取简易申报方式的定期定额户，在规定期限内通过财税库银电子缴税系统批量扣税或委托银行扣缴核定税款的，当期可不办理申报手续，实行以缴代报。</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税总对信用a级纳税人取消增值税发票认证"/>
      <w:bookmarkEnd w:id="40"/>
      <w:r>
        <w:t xml:space="preserve">税总对信用A级纳税人取消增值税发票认证</w:t>
      </w:r>
    </w:p>
    <w:p>
      <w:r>
        <w:t xml:space="preserve">近日，国税总局发布《关于纳税信用A级纳税人取消增值税发票认证有关问题的公告》（下称《公告》），自2016年3月1日起施行。</w:t>
      </w:r>
    </w:p>
    <w:p>
      <w:r>
        <w:t xml:space="preserve">根据《公告》，纳税人取得销售方使用增值税发票系统升级版开具的增值税发票（包括增值税专用发票、货物运输业增值税专用发票、机动车销售统一发票），可不再进行扫描认证，通过增值税发票税控开票软件登录本省增值税发票查询平台，查询、选择用于申报抵扣或者出口退税的增值税发票信息。同时，《公告》明确，纳税人取得增值税发票，通过增值税发票查询平台未查询到对应发票信息的，仍可进行扫描认证。此外，《公告》还规定，纳税人填报增值税纳税申报表的方法保持不变。</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2"/>
      </w:pPr>
      <w:bookmarkStart w:id="43" w:name="行业"/>
      <w:bookmarkEnd w:id="43"/>
      <w:r>
        <w:t xml:space="preserve">行业</w:t>
      </w:r>
    </w:p>
    <w:p>
      <w:pPr>
        <w:pStyle w:val="Heading3"/>
      </w:pPr>
      <w:bookmarkStart w:id="44" w:name="国家能源局发文促进三北地区可再生能源消纳"/>
      <w:bookmarkEnd w:id="44"/>
      <w:r>
        <w:t xml:space="preserve">国家能源局发文促进“三北”地区可再生能源消纳</w:t>
      </w:r>
    </w:p>
    <w:p>
      <w:r>
        <w:t xml:space="preserve">近日，国家能源局下发《关于做好“三北”地区可再生能源消纳工作的通知》（下称《通知》），旨在促进华北、东北、西北地区风电、光伏发电等可再生能源消纳。</w:t>
      </w:r>
    </w:p>
    <w:p>
      <w:r>
        <w:t xml:space="preserve">《通知》提出“做好可再生能源发电直接交易工作”等九项内容。其中，《通知》明确，推动可再生能源就近消纳，鼓励可再生能源发电企业作为市场主体积极参与市场直接交易并逐步扩大交易范围和规模，鼓励超出可再生能源保障性利用小时数的发电量参与市场交易。鼓励可再生能源发电企业通过技术进步降低成本，提高市场竞争力。同时，《通知》要求，可再生能源发电企业应加强发电设备运行管理，加大先进技术应用力度，不断提高功率预测精度，积极优化风电、光伏发电和水电运行互补。</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上海政府发布推进互联网行动实施意见"/>
      <w:bookmarkEnd w:id="47"/>
      <w:r>
        <w:t xml:space="preserve">上海政府发布推进“互联网+”行动实施意见</w:t>
      </w:r>
    </w:p>
    <w:p>
      <w:r>
        <w:t xml:space="preserve">近日，上海市政府下发《上海市推进“互联网+”行动实施意见》（下称《意见》）。</w:t>
      </w:r>
    </w:p>
    <w:p>
      <w:r>
        <w:t xml:space="preserve">《意见》提出，到2018年，实现互联网与经济社会各领域深度融合，形成有利于互联网创新的宽松制度环境，确立上海互联网发展的优势地位。为此，《意见》确立了“互联网＋研发设计”等21个专项行动。其中，《意见》要求，规范发展互利金融，促进形成完善的金融服务体系。发展新兴金融模式，在“风险可控、商业可持续”的原则下，鼓励符合规定的互联网支付、股权众筹、网络借贷、互联网基金销售、互联网保险等七类商业模式创新，为优秀产品、企业和消费者提供完整的金融解决方案。此外，《意见》还推出“优化产业发展支撑环境”等八项具体举措。</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两部门发布网络出版服务管理规定"/>
      <w:bookmarkEnd w:id="50"/>
      <w:r>
        <w:t xml:space="preserve">两部门发布《网络出版服务管理规定》</w:t>
      </w:r>
    </w:p>
    <w:p>
      <w:r>
        <w:t xml:space="preserve">近日，广电总局、工信部下发《网络出版服务管理规定》（下称《规定》），自2016年3月10日施行。</w:t>
      </w:r>
    </w:p>
    <w:p>
      <w:r>
        <w:t xml:space="preserve">《规定》指出，从事网络出版服务，必须取得《网络出版服务许可证》。图书、电子等出版单位从事网络出版服务，应有确定的从事网络出版服务的网站域名、智能终端应用程序等出版平台；有确定的网络出版服务范围；有从事网络出版服务所需的必要的技术设备，相关服务器和存储设备必须存放在中国境内。同时，根据《规定》，中外合资经营、中外合作经营和外资经营单位不得从事网络出版服务，网络出版服务单位与境内上述企业或境外组织及个人进行相关项目合作，应事前报广电总局审批。此外，《规定》还明确了网络出版物不得含有的内容。</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并购"/>
      <w:bookmarkEnd w:id="53"/>
      <w:r>
        <w:t xml:space="preserve">并购</w:t>
      </w:r>
    </w:p>
    <w:p>
      <w:pPr>
        <w:pStyle w:val="Heading3"/>
      </w:pPr>
      <w:bookmarkStart w:id="54" w:name="深天地a拟55亿收购友德医"/>
      <w:bookmarkEnd w:id="54"/>
      <w:r>
        <w:t xml:space="preserve">深天地A拟55亿收购友德医</w:t>
      </w:r>
    </w:p>
    <w:p>
      <w:r>
        <w:t xml:space="preserve">深天地A2月17日发布重大资产重组预案，拟作价55亿元收购友德医及其关联公司赢医通100%股权，涉足互联网医疗。</w:t>
      </w:r>
    </w:p>
    <w:p>
      <w:r>
        <w:t xml:space="preserve">资料显示，友德医成立于2014年8月，专注于网络医院平台的研发、测试；2015年10月，友德医网络医院平台正式上线。2015年度友德医未经审计营业收入为4511.29万元，未经审计的净利润2059.43万元。</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昆仑万维联手奇虎12亿美元收购opera"/>
      <w:bookmarkEnd w:id="57"/>
      <w:r>
        <w:t xml:space="preserve">昆仑万维联手奇虎12亿美元收购Opera</w:t>
      </w:r>
    </w:p>
    <w:p>
      <w:r>
        <w:t xml:space="preserve">昆仑万维2月14日晚间公告，公司拟和奇虎三六零软件（北京）有限公司（简称“奇虎”）、金砖丝路基金管理（深圳）合伙企业（有限合伙）（简称“金砖”）成立买方团，公开要约收购Opera 100%的股权。买方团拟通过金砖丝路二期（深圳）股权投资基金合伙企业（有限合伙）（“专项基金”）在中国设立一家特殊目的公司（简称“中国SPV”），并由中国SPV在中国之外的司法辖区设立一家或多家全资控股的特殊目的公司（简称“境外SPV”），通过境外SPV实施交易。</w:t>
      </w:r>
    </w:p>
    <w:p>
      <w:r>
        <w:t xml:space="preserve">昆仑万维此次拟收购的对象Opera公司成立于1995年，总部位于挪威首都奥斯陆，在奥斯陆证券交易所挂牌上市，总股本1.46亿股，是世界著名的跨平台浏览器公司之一。其开发的支持多页面标签式浏览的Opera浏览器可以在Windows、Mac和Linux3个操作系统平台上运行，并因快速、小巧和极佳的兼容性而广为人知。借助超过10亿的全球受众，Opera帮助出版商通过广告将内容变现，并帮助广告商触及到能为其产生商业价值的受众。</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天海投资拟390亿收购美上市公司"/>
      <w:bookmarkEnd w:id="60"/>
      <w:r>
        <w:t xml:space="preserve">天海投资拟390亿收购美上市公司</w:t>
      </w:r>
    </w:p>
    <w:p>
      <w:r>
        <w:t xml:space="preserve">天海投资2月19日公告，公司拟通过在海外设立的并购主体以38.90美元/股的价格收购纽交所上市公司Ingram Micro Inc.（股票代码：IM，下称“IMI”）100%股权，交易价款预计约为60亿美元（约合人民币390亿元）。纽约时间2016年2月17日，天海投资、并购主体已与IMI签署了附条件生效的合并协议及计划。</w:t>
      </w:r>
    </w:p>
    <w:p>
      <w:r>
        <w:t xml:space="preserve">根据协议，海外并购主体与IMI合并完成后，并购主体并入IMI，IMI为存续公司并成为天海投资子公司，IMI已发行并流通在外的普通股全部注销，原普通股股东获得38.90美元/股现金对价，交易价款约为60亿美元，全部现金支付。</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其他"/>
      <w:bookmarkEnd w:id="63"/>
      <w:r>
        <w:t xml:space="preserve">其他</w:t>
      </w:r>
    </w:p>
    <w:p>
      <w:pPr>
        <w:pStyle w:val="Heading3"/>
      </w:pPr>
      <w:bookmarkStart w:id="64" w:name="中办国办到2020年实行政务公开负面清单制度"/>
      <w:bookmarkEnd w:id="64"/>
      <w:r>
        <w:t xml:space="preserve">中办国办：到2020年实行政务公开负面清单制度</w:t>
      </w:r>
    </w:p>
    <w:p>
      <w:r>
        <w:t xml:space="preserve">近日，中共中央办公厅、国务院办公厅印发《关于全面推进政务公开工作的意见》。意见提出，到2020年，政务公开总体迈上新台阶，依法积极稳妥实行政务公开负面清单制度，公开内容覆盖权力运行全流程、政务服务全过程。</w:t>
      </w:r>
    </w:p>
    <w:p>
      <w:r>
        <w:t xml:space="preserve">意见指出，全面推行权力清单、责任清单、负面清单公开工作，建立健全清单动态调整公开机制。把政务公开工作纳入绩效考核体系，加大分值权重。鼓励支持第三方机构对政务公开质量和效果进行独立公正的评估。强化激励和问责，对政务公开工作落实好的，按照有关规定予以表彰；对公开工作落实不到位的，予以通报批评；对违反政务公开有关规定、不履行公开义务或公开不应当公开事项，并造成严重影响的，依法依规严肃追究责任。</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7">
        <w:r>
          <w:rPr>
            <w:rStyle w:val="Link"/>
          </w:rPr>
          <w:t xml:space="preserve">unsubscribe@charltonslaw.com</w:t>
        </w:r>
      </w:hyperlink>
    </w:p>
    <w:p>
      <w:r>
        <w:rPr>
          <w:b/>
        </w:rPr>
        <w:t xml:space="preserve">易周律师行 - 法讯 - 中国 - 第489期 - 2016年02月22日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031707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58" Target="http://epaper.stcn.com/paper/zqsb/html/2016-02/15/content_787597.htm" TargetMode="External" /><Relationship Type="http://schemas.openxmlformats.org/officeDocument/2006/relationships/hyperlink" Id="rId55" Target="http://epaper.stcn.com/paper/zqsb/html/2016-02/17/content_788292.htm" TargetMode="External" /><Relationship Type="http://schemas.openxmlformats.org/officeDocument/2006/relationships/hyperlink" Id="rId61" Target="http://epaper.stcn.com/paper/zqsb/html/epaper/index/content_789066.htm" TargetMode="External" /><Relationship Type="http://schemas.openxmlformats.org/officeDocument/2006/relationships/hyperlink" Id="rId25" Target="http://jjs.mof.gov.cn/zhengwuxinxi/tongzhigonggao/201602/t20160216_1703764.html" TargetMode="External" /><Relationship Type="http://schemas.openxmlformats.org/officeDocument/2006/relationships/hyperlink" Id="rId41" Target="http://szss.nxds.gov.cn/info/1043/3126.htm" TargetMode="External" /><Relationship Type="http://schemas.openxmlformats.org/officeDocument/2006/relationships/hyperlink" Id="rId21" Target="http://www.charltonslaw.com.cn/china-news-alerts-cn-issue-489/" TargetMode="External" /><Relationship Type="http://schemas.openxmlformats.org/officeDocument/2006/relationships/hyperlink" Id="rId35" Target="http://www.chinatax.gov.cn/n810341/n810755/c2012982/content.html" TargetMode="External" /><Relationship Type="http://schemas.openxmlformats.org/officeDocument/2006/relationships/hyperlink" Id="rId65" Target="http://www.gov.cn/xinwen/2016-02/17/content_5042791.htm" TargetMode="External" /><Relationship Type="http://schemas.openxmlformats.org/officeDocument/2006/relationships/hyperlink" Id="rId38" Target="http://www.he-n-tax.gov.cn/lfgsww_new/ssxc/swxw/tzgg/201602/t20160206_1072463.html" TargetMode="External" /><Relationship Type="http://schemas.openxmlformats.org/officeDocument/2006/relationships/hyperlink" Id="rId51" Target="http://www.miit.gov.cn/n1146295/n1146557/n1146619/c4639081/content.html" TargetMode="External" /><Relationship Type="http://schemas.openxmlformats.org/officeDocument/2006/relationships/hyperlink" Id="rId31" Target="http://www.pbc.gov.cn/goutongjiaoliu/113456/113469/3016882/index.html" TargetMode="External" /><Relationship Type="http://schemas.openxmlformats.org/officeDocument/2006/relationships/hyperlink" Id="rId28" Target="http://www.pbc.gov.cn/goutongjiaoliu/113456/113469/3017867/index.html" TargetMode="External" /><Relationship Type="http://schemas.openxmlformats.org/officeDocument/2006/relationships/hyperlink" Id="rId48" Target="http://www.shanghai.gov.cn/nw2/nw2314/nw2319/nw12344/u26aw46341.html" TargetMode="External" /><Relationship Type="http://schemas.openxmlformats.org/officeDocument/2006/relationships/hyperlink" Id="rId45" Target="http://zfxxgk.nea.gov.cn/auto92/201602/t20160216_2202.htm" TargetMode="External" /><Relationship Type="http://schemas.openxmlformats.org/officeDocument/2006/relationships/hyperlink" Id="rId6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58" Target="http://epaper.stcn.com/paper/zqsb/html/2016-02/15/content_787597.htm" TargetMode="External" /><Relationship Type="http://schemas.openxmlformats.org/officeDocument/2006/relationships/hyperlink" Id="rId55" Target="http://epaper.stcn.com/paper/zqsb/html/2016-02/17/content_788292.htm" TargetMode="External" /><Relationship Type="http://schemas.openxmlformats.org/officeDocument/2006/relationships/hyperlink" Id="rId61" Target="http://epaper.stcn.com/paper/zqsb/html/epaper/index/content_789066.htm" TargetMode="External" /><Relationship Type="http://schemas.openxmlformats.org/officeDocument/2006/relationships/hyperlink" Id="rId25" Target="http://jjs.mof.gov.cn/zhengwuxinxi/tongzhigonggao/201602/t20160216_1703764.html" TargetMode="External" /><Relationship Type="http://schemas.openxmlformats.org/officeDocument/2006/relationships/hyperlink" Id="rId41" Target="http://szss.nxds.gov.cn/info/1043/3126.htm" TargetMode="External" /><Relationship Type="http://schemas.openxmlformats.org/officeDocument/2006/relationships/hyperlink" Id="rId21" Target="http://www.charltonslaw.com.cn/china-news-alerts-cn-issue-489/" TargetMode="External" /><Relationship Type="http://schemas.openxmlformats.org/officeDocument/2006/relationships/hyperlink" Id="rId35" Target="http://www.chinatax.gov.cn/n810341/n810755/c2012982/content.html" TargetMode="External" /><Relationship Type="http://schemas.openxmlformats.org/officeDocument/2006/relationships/hyperlink" Id="rId65" Target="http://www.gov.cn/xinwen/2016-02/17/content_5042791.htm" TargetMode="External" /><Relationship Type="http://schemas.openxmlformats.org/officeDocument/2006/relationships/hyperlink" Id="rId38" Target="http://www.he-n-tax.gov.cn/lfgsww_new/ssxc/swxw/tzgg/201602/t20160206_1072463.html" TargetMode="External" /><Relationship Type="http://schemas.openxmlformats.org/officeDocument/2006/relationships/hyperlink" Id="rId51" Target="http://www.miit.gov.cn/n1146295/n1146557/n1146619/c4639081/content.html" TargetMode="External" /><Relationship Type="http://schemas.openxmlformats.org/officeDocument/2006/relationships/hyperlink" Id="rId31" Target="http://www.pbc.gov.cn/goutongjiaoliu/113456/113469/3016882/index.html" TargetMode="External" /><Relationship Type="http://schemas.openxmlformats.org/officeDocument/2006/relationships/hyperlink" Id="rId28" Target="http://www.pbc.gov.cn/goutongjiaoliu/113456/113469/3017867/index.html" TargetMode="External" /><Relationship Type="http://schemas.openxmlformats.org/officeDocument/2006/relationships/hyperlink" Id="rId48" Target="http://www.shanghai.gov.cn/nw2/nw2314/nw2319/nw12344/u26aw46341.html" TargetMode="External" /><Relationship Type="http://schemas.openxmlformats.org/officeDocument/2006/relationships/hyperlink" Id="rId45" Target="http://zfxxgk.nea.gov.cn/auto92/201602/t20160216_2202.htm" TargetMode="External" /><Relationship Type="http://schemas.openxmlformats.org/officeDocument/2006/relationships/hyperlink" Id="rId6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第489期 - 2016年02月22日</dc:title>
  <dc:creator/>
</cp:coreProperties>
</file>