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第490期</w:t>
      </w:r>
      <w:r>
        <w:t xml:space="preserve"> </w:t>
      </w:r>
      <w:r>
        <w:t xml:space="preserve">-</w:t>
      </w:r>
      <w:r>
        <w:t xml:space="preserve"> </w:t>
      </w:r>
      <w:r>
        <w:t xml:space="preserve">2016年02月29日</w:t>
      </w:r>
    </w:p>
    <w:p>
      <w:hyperlink r:id="rId21">
        <w:r>
          <w:rPr>
            <w:rStyle w:val="Link"/>
          </w:rPr>
          <w:t xml:space="preserve">网络版</w:t>
        </w:r>
      </w:hyperlink>
    </w:p>
    <w:p>
      <w:pPr>
        <w:pStyle w:val="Heading1"/>
      </w:pPr>
      <w:bookmarkStart w:id="22" w:name="中国法讯第490期"/>
      <w:bookmarkEnd w:id="22"/>
      <w:r>
        <w:t xml:space="preserve">中国法讯第490期</w:t>
      </w:r>
    </w:p>
    <w:p>
      <w:pPr>
        <w:pStyle w:val="Heading2"/>
      </w:pPr>
      <w:bookmarkStart w:id="23" w:name="资本市场"/>
      <w:bookmarkEnd w:id="23"/>
      <w:r>
        <w:t xml:space="preserve">资本市场</w:t>
      </w:r>
    </w:p>
    <w:p>
      <w:pPr>
        <w:pStyle w:val="Heading3"/>
      </w:pPr>
      <w:bookmarkStart w:id="24" w:name="中国人民银行进一步放开境外机构投资者投资银行间债券市场"/>
      <w:bookmarkEnd w:id="24"/>
      <w:r>
        <w:t xml:space="preserve">中国人民银行进一步放开境外机构投资者投资银行间债券市场</w:t>
      </w:r>
    </w:p>
    <w:p>
      <w:r>
        <w:t xml:space="preserve">为进一步推动银行间债券市场对外开放，便利符合条件的境外机构投资者依法合规投资银行间债券市场，中国人民银行发布了2016年3号公告，引入更多符合条件的境外机构投资者，取消额度限制，简化管理流程。</w:t>
      </w:r>
    </w:p>
    <w:p>
      <w:r>
        <w:t xml:space="preserve">根据《公告》，在中华人民共和国境外依法注册成立的各类金融机构，上述金融机构依法合规面向客户发行的投资产品，以及养老基金、慈善基金、捐赠基金等中国人民银行认可的其他中长期机构投资者，均可投资银行间债券市场。为维护债券市场平稳健康发展，人民银行鼓励境外中长期机构投资者投资银行间债券市场，此类投资者投资银行间债券市场没有额度限制。人民银行对境外机构投资者的投资行为实施宏观审慎管理。符合条件的境外机构投资者通过银行间市场结算代理人完成备案、开户等手续后，即可成为银行间债券市场的参与者。</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2"/>
      </w:pPr>
      <w:bookmarkStart w:id="27" w:name="税收"/>
      <w:bookmarkEnd w:id="27"/>
      <w:r>
        <w:t xml:space="preserve">税收</w:t>
      </w:r>
    </w:p>
    <w:p>
      <w:pPr>
        <w:pStyle w:val="Heading3"/>
      </w:pPr>
      <w:bookmarkStart w:id="28" w:name="税总完善纳税服务投诉管理制度有关问题"/>
      <w:bookmarkEnd w:id="28"/>
      <w:r>
        <w:t xml:space="preserve">税总完善纳税服务投诉管理制度有关问题</w:t>
      </w:r>
    </w:p>
    <w:p>
      <w:r>
        <w:t xml:space="preserve">日前，国税总局发布《关于完善纳税服务投诉管理制度有关问题的通知》（下称《通知》），自印发之日起执行。</w:t>
      </w:r>
    </w:p>
    <w:p>
      <w:r>
        <w:t xml:space="preserve">《通知》称，税总将于2016年2月26日对各省税务机关热线系统进行升级，以实现纳税服务投诉多渠道接收、同一平台处理、全程监控督办。同时，《通知》规定，各级税务机关应及时对纳税服务投诉情况进行统计分析，并按月度向上级机关报告。《通知》明确，各省税务机关应建立上级对下级纳税服务投诉及办理情况的通报制度：省税务机关每半年对本辖区纳税服务投诉和处理情况进行通报，通报内容包括投诉的基本情况、受理及处理情况、存在问题与整改要求等；税总将按年度对各省纳税服务投诉及办理情况进行通报。</w:t>
      </w:r>
    </w:p>
    <w:p>
      <w:hyperlink r:id="rId29">
        <w:r>
          <w:rPr>
            <w:rStyle w:val="Link"/>
          </w:rPr>
          <w:t xml:space="preserve">来源</w:t>
        </w:r>
      </w:hyperlink>
      <w:r>
        <w:t xml:space="preserve"> </w:t>
      </w:r>
      <w:r>
        <w:t xml:space="preserve">(</w:t>
      </w:r>
      <w:hyperlink r:id="rId30">
        <w:r>
          <w:rPr>
            <w:rStyle w:val="Link"/>
          </w:rPr>
          <w:t xml:space="preserve">副本</w:t>
        </w:r>
      </w:hyperlink>
      <w:r>
        <w:t xml:space="preserve">)</w:t>
      </w:r>
    </w:p>
    <w:p>
      <w:pPr>
        <w:pStyle w:val="Heading3"/>
      </w:pPr>
      <w:bookmarkStart w:id="31" w:name="五部门发布口岸进境免税店政策及管理办法"/>
      <w:bookmarkEnd w:id="31"/>
      <w:r>
        <w:t xml:space="preserve">五部门发布口岸进境免税店政策及管理办法</w:t>
      </w:r>
    </w:p>
    <w:p>
      <w:r>
        <w:t xml:space="preserve">日前，财政部等五部门印发《关于口岸进境免税店政策的公告》以及《口岸进境免税店管理暂行办法》（下称《办法》），均自2016年2月18日起执行。</w:t>
      </w:r>
    </w:p>
    <w:p>
      <w:r>
        <w:t xml:space="preserve">根据相关批复，国务院同意在广州白云等13个机场口岸、深圳福田等6个水陆口岸各设1家口岸进境免税店。《办法》旨在确保口岸进境免税店政策实施。《办法》规定，口岸进境免税店必须由具有免税品经营资质的企业绝对控股（持股比例大于50%）。同时，《办法》明确，经营口岸进境免税店应当符合海关监管要求，经海关批准，并办理注册手续；口岸进境免税店一般由机场或其他招标人通过招标方式确定经营主体。此外，《办法》还强调，新设立或经营合同到期的免税店经营主体经招标或核准后，招标人或口岸业主与免税品经营企业每次签约的经营期限不超过10年。</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三部门调整房地产交易环节契税营业税优惠政策"/>
      <w:bookmarkEnd w:id="34"/>
      <w:r>
        <w:t xml:space="preserve">三部门调整房地产交易环节契税、营业税优惠政策</w:t>
      </w:r>
    </w:p>
    <w:p>
      <w:r>
        <w:t xml:space="preserve">近日，财政部等三部门发布《关于调整房地产交易环节契税、营业税优惠政策的通知》（下称《通知》），自2016年2月22日执行。</w:t>
      </w:r>
    </w:p>
    <w:p>
      <w:r>
        <w:t xml:space="preserve">《通知》规定：1、对个人购买家庭唯一住房（家庭成员范围包括购房人、配偶以及未成年子女），面积为90平方米及以下的，减按1%的税率征收契税；面积为90平方米以上的，减按1.5%的税率征收契税。2、对个人购买家庭第二套改善性住房，面积为90平方米及以下的，减按1%的税率征收契税；面积为90平方米以上的，减按2%的税率征收契税。同时，《通知》明确，个人将购买不足2年的住房对外销售的，全额征收营业税；个人将购买2年以上（含）的住房对外销售的，免征营业税。此外，《通知》强调，北上广深暂不实施部分营业税优惠政策。</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税总发文落实高新技术企业认定管理办法"/>
      <w:bookmarkEnd w:id="37"/>
      <w:r>
        <w:t xml:space="preserve">税总发文落实高新技术企业认定管理办法</w:t>
      </w:r>
    </w:p>
    <w:p>
      <w:r>
        <w:t xml:space="preserve">日前，国税总局下发《关于贯彻落实〈高新技术企业认定管理办法〉的通知》（下称《通知》）。</w:t>
      </w:r>
    </w:p>
    <w:p>
      <w:r>
        <w:t xml:space="preserve">《通知》从“简化程序，切实降低办税成本”等四个方面贯彻高新技术企业认定管理办法。《通知》提出，简化备案程序，按《国家税务总局关于发布〈企业所得税优惠政策事项办理办法〉的公告》规定，做好所得税优惠政策备案和后续管理工作，不得以任何理由变相审批。各地税务机关还要加强联系、信息共享，采取有效手段，对跨认定机构管理区域迁移的高新技术企业实现管理的无缝对接，降低纳税人涉税成本。</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行业"/>
      <w:bookmarkEnd w:id="40"/>
      <w:r>
        <w:t xml:space="preserve">行业</w:t>
      </w:r>
    </w:p>
    <w:p>
      <w:pPr>
        <w:pStyle w:val="Heading3"/>
      </w:pPr>
      <w:bookmarkStart w:id="41" w:name="质检总局公布工业产品生产许可证实施细则修订单"/>
      <w:bookmarkEnd w:id="41"/>
      <w:r>
        <w:t xml:space="preserve">质检总局公布工业产品生产许可证实施细则修订单</w:t>
      </w:r>
    </w:p>
    <w:p>
      <w:r>
        <w:t xml:space="preserve">为贯彻落实《中华人民共和国工业产品生产许可证管理条例实施办法》、《质检总局关于深化工业产品生产许可证制度改革的意见》，以及新颁国家行政法规、产品标准、产业政策等有关要求，质检总局对人造板等60类工业产品的生产许可证实施细则部分具体要求进行了修订（不含食品相关产品），自发布之日起实施。</w:t>
      </w:r>
    </w:p>
    <w:p>
      <w:r>
        <w:t xml:space="preserve">新修订的《人造板等99个产品生产许可证实施细则》，删除“7委托加工备案程序”章及全文有关内容，删除“生产许可证企业实地核查管理办法”中的“七、安全防护”章以及全文有关内容。</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财政部发布代理记账管理办法"/>
      <w:bookmarkEnd w:id="44"/>
      <w:r>
        <w:t xml:space="preserve">财政部发布《代理记账管理办法》</w:t>
      </w:r>
    </w:p>
    <w:p>
      <w:r>
        <w:t xml:space="preserve">近日，财政部下发《代理记账管理办法》（下称《办法》），自2016年5月1日起施行。</w:t>
      </w:r>
    </w:p>
    <w:p>
      <w:r>
        <w:t xml:space="preserve">《办法》适用于代理记账资格的申请、取得和管理，以及代理记账机构从事相关业务。《办法》规定，符合“持有会计从业资格证书的专职从业人员不少于3名”等四项条件的机构可申请代理记账资格。同时，《办法》明确了申请机构应提交的材料以及相关审批程序，并要求申请人应自取得代理记账许可证书之日起20日内通过企业信用信息公示系统向社会公示。此外，《办法》还强调，代理记账机构可接受委托办理“向税务机关提供税务资料”等四类业务，并列明机构及其从业人员应履行的义务。</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四部门发文规范土地储备和资金管理有关问题"/>
      <w:bookmarkEnd w:id="47"/>
      <w:r>
        <w:t xml:space="preserve">四部门发文规范土地储备和资金管理有关问题</w:t>
      </w:r>
    </w:p>
    <w:p>
      <w:r>
        <w:t xml:space="preserve">近日，财政部等四部门发布《关于规范土地储备和资金管理等相关问题的通知》（下称《通知》）。</w:t>
      </w:r>
    </w:p>
    <w:p>
      <w:r>
        <w:t xml:space="preserve">《通知》提出清理压缩现有土地储备机构，进一步规范土地储备行为，合理确定土地储备总体规模，妥善处置存量土地储备债务，调整土地储备筹资方式等九项要求。其中，《通知》规定，自2016年1月1日起，各地不得再向银行业金融机构举借土地储备贷款。同时，《通知》明确了土地储备资金筹集渠道，并指出其使用范围包括“征收、收购、优先购买或收回土地需要支付的土地价款或征地和拆迁补偿费用”等四个方面。</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国务院启动新一轮农村电网改造升级"/>
      <w:bookmarkEnd w:id="50"/>
      <w:r>
        <w:t xml:space="preserve">国务院启动新一轮农村电网改造升级</w:t>
      </w:r>
    </w:p>
    <w:p>
      <w:r>
        <w:t xml:space="preserve">国务院办公厅日前转发国家发展改革委《关于“十三五”期间实施新一轮农村电网改造升级工程意见的通知》，提出要积极适应农业生产和农村消费需求，按照统筹规划、协调发展，突出重点、共享均等，电能替代、绿色低碳，创新机制、加强管理的原则，突出重点领域和薄弱环节，实施新一轮农村电网改造升级工程。</w:t>
      </w:r>
    </w:p>
    <w:p>
      <w:r>
        <w:t xml:space="preserve">《通知》提出，到2020年，全国农村地区基本实现稳定可靠的供电服务全覆盖，供电能力和服务水平明显提升，农村电网供电可靠率达到99.8%，综合电压合格率达到97.9%，户均配变容量不低于2千伏安。东部地区基本实现城乡供电服务均等化，中西部地区城乡供电服务差距大幅缩小，贫困及偏远少数民族地区农村电网基本满足生产生活需要。县级供电企业基本建立现代企业制度。</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国务院印发意见-进一步加强城市规划建设管理"/>
      <w:bookmarkEnd w:id="53"/>
      <w:r>
        <w:t xml:space="preserve">国务院印发意见 进一步加强城市规划建设管理</w:t>
      </w:r>
    </w:p>
    <w:p>
      <w:r>
        <w:t xml:space="preserve">中共中央、国务院日前印发了《关于进一步加强城市规划建设管理工作的若干意见》，明确了城市规划建设管理工作的指导思想、总体目标和基本原则，并从七个方面提出了加强城市规划建设管理工作的重点任务。</w:t>
      </w:r>
    </w:p>
    <w:p>
      <w:r>
        <w:t xml:space="preserve">《意见》明确，城市规划建设管理的总体目标是：实现城市有序建设、适度开发、高效运行，努力打造和谐宜居、富有活力、各具特色的现代化城市，让人民生活更美好。</w:t>
      </w:r>
    </w:p>
    <w:p>
      <w:r>
        <w:t xml:space="preserve">《意见》提出，强化城市规划工作。增强规划的前瞻性、严肃性和连续性，实现一张蓝图干到底。改革完善城市规划管理体制，加强城市总体规划和土地利用总体规划的衔接，推进两图合一。用5年左右时间，全面清查并处理建成区违法建设，坚决遏制新增违法建设。</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环保部发文提升规划环评质量"/>
      <w:bookmarkEnd w:id="56"/>
      <w:r>
        <w:t xml:space="preserve">环保部发文提升规划环评质量</w:t>
      </w:r>
    </w:p>
    <w:p>
      <w:r>
        <w:t xml:space="preserve">日前，环保部办公厅发布《关于规划环境影响评价加强空间管制、总量管控和环境准入的指导意见（试行）》（下称《意见》）。</w:t>
      </w:r>
    </w:p>
    <w:p>
      <w:r>
        <w:t xml:space="preserve">《意见》就规划环评加强空间管制、总量管控和环境准入加以布署。其中，《意见》提出，规划环评应结合区域特征，从维护生态系统完整性的角度，识别并确定需要严格保护的生态空间，作为区域空间开发的底线，并据此优化相关生产和生活空间布局，强化开发边界管制。同时，《意见》明确，当区域环境质量超标或重点行业污染物排放已超出总量管控时，应据环境质量改善目标，提出区域或行业污染物减排任务，推动制定污染物减排方案及加快淘汰落后产能等。此外，《意见》还要求，建立包括环境影响、资源消耗强度、土地利用效率等指标在内的评价指标体系，对重点行业进行综评。</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十一部门明年起全国实行车用汽柴油国五标准"/>
      <w:bookmarkEnd w:id="59"/>
      <w:r>
        <w:t xml:space="preserve">十一部门：明年起全国实行车用汽柴油国五标准</w:t>
      </w:r>
    </w:p>
    <w:p>
      <w:r>
        <w:t xml:space="preserve">近日，国家发改委等十一部门联合下发《关于进一步推进成品油质量升级及加强市场管理的通知》（下称《通知》）。</w:t>
      </w:r>
    </w:p>
    <w:p>
      <w:r>
        <w:t xml:space="preserve">《通知》规定，严格按时限停售低标准油品：1、2016年1月1日起，东部地区11省市全面供应国Ⅴ标准车用汽油（含E10乙醇汽油）、车用柴油（含B5生物柴油），同时停止区域内加油站（点）销售低于国Ⅴ标准车用汽、柴油。2、2017年1月1日起，全国全面供应符合国Ⅴ标准的车用汽油（含E10乙醇汽油）、车用柴油（含B5生物柴油），同时停止国内销售低于国Ⅴ标准车用汽、柴油。同时，《通知》还进一步规范成品油流通管理，提出严禁炼油企业将不符合现行国家标准的成品油以其他产品名义销售给成品油批发、零售企业等六项要求。此外，《通知》还强化了炼厂质量升级和生产监管。</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并购"/>
      <w:bookmarkEnd w:id="62"/>
      <w:r>
        <w:t xml:space="preserve">并购</w:t>
      </w:r>
    </w:p>
    <w:p>
      <w:pPr>
        <w:pStyle w:val="Heading3"/>
      </w:pPr>
      <w:bookmarkStart w:id="63" w:name="东山精密拟40亿并购美国上市公司mflx"/>
      <w:bookmarkEnd w:id="63"/>
      <w:r>
        <w:t xml:space="preserve">东山精密拟40亿并购美国上市公司MFLX</w:t>
      </w:r>
    </w:p>
    <w:p>
      <w:r>
        <w:t xml:space="preserve">东山精密2月22日晚间发布非公开发行股票预案，公司拟以不低于15.93元/股的价格发行不超过2.82亿股，募集资金总额不超过45亿元，用于收购美国纳斯达克上市公司MFLX公司100%股权，以及补充流动资金。</w:t>
      </w:r>
    </w:p>
    <w:p>
      <w:r>
        <w:t xml:space="preserve">东山精密此次非公开发行股票的一大亮点即为收购美国最大的柔性电路板制造商。根据方案，东山精密将通过全资子公司香港东山，在美国特拉华州投资设立一家全资子公司Dragon Electronix Holdings Inc.（即“美国控股公司”），并通过美国控股公司于美国特拉华州投资设立一家全资子公司Dragon Electronix Merger Sub Inc.（即“合并子公司”）。合并子公司与MFLX公司将于交割条件全部满足后依据美国特拉华州相关法律进行公司合并。MFLX公司将作为合并后的存续公司，并成为东山精密的一家间接全资子公司。本次合并完成后，MFLX公司的普通股股票将从美国纳斯达克退市。</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其他"/>
      <w:bookmarkEnd w:id="66"/>
      <w:r>
        <w:t xml:space="preserve">其他</w:t>
      </w:r>
    </w:p>
    <w:p>
      <w:pPr>
        <w:pStyle w:val="Heading3"/>
      </w:pPr>
      <w:bookmarkStart w:id="67" w:name="项国务院部门行政许可事项取消"/>
      <w:bookmarkEnd w:id="67"/>
      <w:r>
        <w:t xml:space="preserve">13项国务院部门行政许可事项取消</w:t>
      </w:r>
    </w:p>
    <w:p>
      <w:r>
        <w:t xml:space="preserve">经李克强总理签批，国务院日前印发《关于取消13项国务院部门行政许可事项的决定》，决定取消一批国务院部门行政许可事项。</w:t>
      </w:r>
    </w:p>
    <w:p>
      <w:r>
        <w:t xml:space="preserve">本次取消的国务院部门行政许可事项，共涉及10个部门，主要有以下特点：一是全部为取消事项，没有下放事项。二是部分事项“含金量”较高，这次取消事项涉及金融领域简政放权、个人或企业资质资格认定、企业经营活动的占80%以上。如国家发展改革委取消的“价格鉴证师注册核准”事项，平均每年注册达4000人；国家外专局取消的“聘请外国专家单位资格认可”事项涉及单位有9000多家。取消这些事项有利于激发市场活力，增强发展动力。三是对取消事项的安全风险进行严格的评估论证，特别是对于涉及公共安全的取消事项，都从风险防控角度严格论证，确保不因行政许可事项取消而产生安全问题。</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最高法发布物权法司法解释一"/>
      <w:bookmarkEnd w:id="70"/>
      <w:r>
        <w:t xml:space="preserve">最高法发布《物权法》司法解释（一）</w:t>
      </w:r>
    </w:p>
    <w:p>
      <w:r>
        <w:t xml:space="preserve">近日，最高人民法院发布《最高人民法院关于适用〈中华人民共和国物权法〉若干问题的解释（一）》（《解释》），共22个条文，从3月1日起施行。</w:t>
      </w:r>
    </w:p>
    <w:p>
      <w:r>
        <w:t xml:space="preserve">《解释》重点包括六方面内容，即不动产登记与物权确认或基础关系争议，预告登记效力，特殊动产转让中的“善意第三人”，发生物权变动效力的人民法院、仲裁委员会的法律文书的范围，按份共有人优先购买权的司法保护，善意取得制度。</w:t>
      </w:r>
    </w:p>
    <w:p>
      <w:r>
        <w:t xml:space="preserve">《解释》对特殊动产转让中的“善意第三人”做了一些具体的规定。第六条以实践中经常发生的权利冲突类型为导向，遵循特殊动产物权变动的物权法规则，通过排除转让人的债权人作为物权法第二十四条所称“第三人”的角度进行了规定。另外，《解释》对关于善意取得制度的适用做了具体规定。明确“受让人受让不动产或者动产时，不知道转让人无处分权，且无重大过失的，应当认定受让人为善意。真实权利人主张受让人不构成善意的，应当承担举证证明责任。”</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国务院发布第二批取消152项地方行政审批事项"/>
      <w:bookmarkEnd w:id="73"/>
      <w:r>
        <w:t xml:space="preserve">国务院发布第二批取消152项地方行政审批事项</w:t>
      </w:r>
    </w:p>
    <w:p>
      <w:r>
        <w:t xml:space="preserve">国务院日前印发《国务院关于第二批取消152项中央指定地方实施行政审批事项的决定》，决定再取消一批中央指定地方实施行政审批事项。</w:t>
      </w:r>
    </w:p>
    <w:p>
      <w:r>
        <w:t xml:space="preserve">本次取消的事项，总计152项，依据法律、法规和国务院决定设定的有65项；依据部门规章、规范性文件设定的有87项，涉及33个部门。这些取消的事项主要有以下特点：一是与投资、生产经营、促进就业等相关的审批事项有87项。取消这些事项，有利于缩短投资审批周期、减少环节，给企业松绑，激发市场活力。二是多数由省、市、县三级实施，量大面广，与人民群众联系密切。取消这些事项，有利于推动地方开展工作，方便群众办事。三是由地方实施“初审”和“预审”的有53项，取消后能进一步理顺国务院部门和地方审批事项的责权关系，明确各自的法律责任，减少管理层级，提高效率。</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6">
        <w:r>
          <w:rPr>
            <w:rStyle w:val="Link"/>
          </w:rPr>
          <w:t xml:space="preserve">unsubscribe@charltonslaw.com</w:t>
        </w:r>
      </w:hyperlink>
    </w:p>
    <w:p>
      <w:r>
        <w:rPr>
          <w:b/>
        </w:rPr>
        <w:t xml:space="preserve">易周律师行 - 法讯 - 中国 - 第490期 - 2016年02月29日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0ad1e3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5"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4" Target="http://epaper.stcn.com/paper/zqsb/html/2016-02/23/content_790070.htm" TargetMode="External" /><Relationship Type="http://schemas.openxmlformats.org/officeDocument/2006/relationships/hyperlink" Id="rId32" Target="http://gss.mof.gov.cn/zhengwuxinxi/zhengcefabu/201602/t20160219_1761905.html" TargetMode="External" /><Relationship Type="http://schemas.openxmlformats.org/officeDocument/2006/relationships/hyperlink" Id="rId35" Target="http://szs.mof.gov.cn/zhengwuxinxi/zhengcefabu/201602/t20160219_1760645.html" TargetMode="External" /><Relationship Type="http://schemas.openxmlformats.org/officeDocument/2006/relationships/hyperlink" Id="rId45" Target="http://tfs.mof.gov.cn/zhengwuxinxi/caizhengbuling/201602/t20160224_1764932.html" TargetMode="External" /><Relationship Type="http://schemas.openxmlformats.org/officeDocument/2006/relationships/hyperlink" Id="rId42" Target="http://www.aqsiq.gov.cn/xxgk_13386/jlgg_12538/zjgg/2016/201602/t20160223_461823.htm" TargetMode="External" /><Relationship Type="http://schemas.openxmlformats.org/officeDocument/2006/relationships/hyperlink" Id="rId21" Target="http://www.charltonslaw.com.cn/china-news-alerts-cn-issue-490/" TargetMode="External" /><Relationship Type="http://schemas.openxmlformats.org/officeDocument/2006/relationships/hyperlink" Id="rId71" Target="http://www.chinacourt.org/law/detail/2016/02/id/148640.shtml" TargetMode="External" /><Relationship Type="http://schemas.openxmlformats.org/officeDocument/2006/relationships/hyperlink" Id="rId29" Target="http://www.chinatax.gov.cn/n810341/n810755/c2014598/content.html" TargetMode="External" /><Relationship Type="http://schemas.openxmlformats.org/officeDocument/2006/relationships/hyperlink" Id="rId38" Target="http://www.chinatax.gov.cn/n810341/n810755/c2017934/content.html" TargetMode="External" /><Relationship Type="http://schemas.openxmlformats.org/officeDocument/2006/relationships/hyperlink" Id="rId54" Target="http://www.gov.cn/zhengce/2016-02/21/content_5044367.htm" TargetMode="External" /><Relationship Type="http://schemas.openxmlformats.org/officeDocument/2006/relationships/hyperlink" Id="rId74" Target="http://www.gov.cn/zhengce/content/2016-02/19/content_5043903.htm" TargetMode="External" /><Relationship Type="http://schemas.openxmlformats.org/officeDocument/2006/relationships/hyperlink" Id="rId51" Target="http://www.gov.cn/zhengce/content/2016-02/22/content_5044629.htm" TargetMode="External" /><Relationship Type="http://schemas.openxmlformats.org/officeDocument/2006/relationships/hyperlink" Id="rId68" Target="http://www.gov.cn/zhengce/content/2016-02/23/content_5045277.htm" TargetMode="External" /><Relationship Type="http://schemas.openxmlformats.org/officeDocument/2006/relationships/hyperlink" Id="rId57" Target="http://www.mep.gov.cn/gkml/hbb/bgt/201602/t20160225_330674.htm" TargetMode="External" /><Relationship Type="http://schemas.openxmlformats.org/officeDocument/2006/relationships/hyperlink" Id="rId25" Target="http://www.pbc.gov.cn/tiaofasi/144941/144959/3021203/index.html" TargetMode="External" /><Relationship Type="http://schemas.openxmlformats.org/officeDocument/2006/relationships/hyperlink" Id="rId60" Target="http://www.sdpc.gov.cn/gzdt/201602/t20160225_790305.html?COLLCC=4284147786&amp;" TargetMode="External" /><Relationship Type="http://schemas.openxmlformats.org/officeDocument/2006/relationships/hyperlink" Id="rId48" Target="http://zhs.mof.gov.cn/zhengwuxinxi/zhengcefabu/201602/t20160222_1763007.html" TargetMode="External" /><Relationship Type="http://schemas.openxmlformats.org/officeDocument/2006/relationships/hyperlink" Id="rId7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5"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4" Target="http://epaper.stcn.com/paper/zqsb/html/2016-02/23/content_790070.htm" TargetMode="External" /><Relationship Type="http://schemas.openxmlformats.org/officeDocument/2006/relationships/hyperlink" Id="rId32" Target="http://gss.mof.gov.cn/zhengwuxinxi/zhengcefabu/201602/t20160219_1761905.html" TargetMode="External" /><Relationship Type="http://schemas.openxmlformats.org/officeDocument/2006/relationships/hyperlink" Id="rId35" Target="http://szs.mof.gov.cn/zhengwuxinxi/zhengcefabu/201602/t20160219_1760645.html" TargetMode="External" /><Relationship Type="http://schemas.openxmlformats.org/officeDocument/2006/relationships/hyperlink" Id="rId45" Target="http://tfs.mof.gov.cn/zhengwuxinxi/caizhengbuling/201602/t20160224_1764932.html" TargetMode="External" /><Relationship Type="http://schemas.openxmlformats.org/officeDocument/2006/relationships/hyperlink" Id="rId42" Target="http://www.aqsiq.gov.cn/xxgk_13386/jlgg_12538/zjgg/2016/201602/t20160223_461823.htm" TargetMode="External" /><Relationship Type="http://schemas.openxmlformats.org/officeDocument/2006/relationships/hyperlink" Id="rId21" Target="http://www.charltonslaw.com.cn/china-news-alerts-cn-issue-490/" TargetMode="External" /><Relationship Type="http://schemas.openxmlformats.org/officeDocument/2006/relationships/hyperlink" Id="rId71" Target="http://www.chinacourt.org/law/detail/2016/02/id/148640.shtml" TargetMode="External" /><Relationship Type="http://schemas.openxmlformats.org/officeDocument/2006/relationships/hyperlink" Id="rId29" Target="http://www.chinatax.gov.cn/n810341/n810755/c2014598/content.html" TargetMode="External" /><Relationship Type="http://schemas.openxmlformats.org/officeDocument/2006/relationships/hyperlink" Id="rId38" Target="http://www.chinatax.gov.cn/n810341/n810755/c2017934/content.html" TargetMode="External" /><Relationship Type="http://schemas.openxmlformats.org/officeDocument/2006/relationships/hyperlink" Id="rId54" Target="http://www.gov.cn/zhengce/2016-02/21/content_5044367.htm" TargetMode="External" /><Relationship Type="http://schemas.openxmlformats.org/officeDocument/2006/relationships/hyperlink" Id="rId74" Target="http://www.gov.cn/zhengce/content/2016-02/19/content_5043903.htm" TargetMode="External" /><Relationship Type="http://schemas.openxmlformats.org/officeDocument/2006/relationships/hyperlink" Id="rId51" Target="http://www.gov.cn/zhengce/content/2016-02/22/content_5044629.htm" TargetMode="External" /><Relationship Type="http://schemas.openxmlformats.org/officeDocument/2006/relationships/hyperlink" Id="rId68" Target="http://www.gov.cn/zhengce/content/2016-02/23/content_5045277.htm" TargetMode="External" /><Relationship Type="http://schemas.openxmlformats.org/officeDocument/2006/relationships/hyperlink" Id="rId57" Target="http://www.mep.gov.cn/gkml/hbb/bgt/201602/t20160225_330674.htm" TargetMode="External" /><Relationship Type="http://schemas.openxmlformats.org/officeDocument/2006/relationships/hyperlink" Id="rId25" Target="http://www.pbc.gov.cn/tiaofasi/144941/144959/3021203/index.html" TargetMode="External" /><Relationship Type="http://schemas.openxmlformats.org/officeDocument/2006/relationships/hyperlink" Id="rId60" Target="http://www.sdpc.gov.cn/gzdt/201602/t20160225_790305.html?COLLCC=4284147786&amp;" TargetMode="External" /><Relationship Type="http://schemas.openxmlformats.org/officeDocument/2006/relationships/hyperlink" Id="rId48" Target="http://zhs.mof.gov.cn/zhengwuxinxi/zhengcefabu/201602/t20160222_1763007.html" TargetMode="External" /><Relationship Type="http://schemas.openxmlformats.org/officeDocument/2006/relationships/hyperlink" Id="rId7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第490期 - 2016年02月29日</dc:title>
  <dc:creator/>
</cp:coreProperties>
</file>