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第491期</w:t>
      </w:r>
      <w:r>
        <w:t xml:space="preserve"> </w:t>
      </w:r>
      <w:r>
        <w:t xml:space="preserve">-</w:t>
      </w:r>
      <w:r>
        <w:t xml:space="preserve"> </w:t>
      </w:r>
      <w:r>
        <w:t xml:space="preserve">2016年03月07日</w:t>
      </w:r>
    </w:p>
    <w:p>
      <w:hyperlink r:id="rId21">
        <w:r>
          <w:rPr>
            <w:rStyle w:val="Link"/>
          </w:rPr>
          <w:t xml:space="preserve">网络版</w:t>
        </w:r>
      </w:hyperlink>
    </w:p>
    <w:p>
      <w:pPr>
        <w:pStyle w:val="Heading1"/>
      </w:pPr>
      <w:bookmarkStart w:id="22" w:name="中国法讯第491期"/>
      <w:bookmarkEnd w:id="22"/>
      <w:r>
        <w:t xml:space="preserve">中国法讯第491期</w:t>
      </w:r>
    </w:p>
    <w:p>
      <w:pPr>
        <w:pStyle w:val="Heading2"/>
      </w:pPr>
      <w:bookmarkStart w:id="23" w:name="资本市场"/>
      <w:bookmarkEnd w:id="23"/>
      <w:r>
        <w:t xml:space="preserve">资本市场</w:t>
      </w:r>
    </w:p>
    <w:p>
      <w:pPr>
        <w:pStyle w:val="Heading3"/>
      </w:pPr>
      <w:bookmarkStart w:id="24" w:name="年中央国库现金管理商业银行定期存款招投标规则印发"/>
      <w:bookmarkEnd w:id="24"/>
      <w:r>
        <w:t xml:space="preserve">2016年中央国库现金管理商业银行定期存款招投标规则印发</w:t>
      </w:r>
    </w:p>
    <w:p>
      <w:r>
        <w:t xml:space="preserve">近日，财政部、人民银行联合印发《2016年中央国库现金管理商业银行定期存款招投标规则的通知》（《通知》），自公布之日起施行。</w:t>
      </w:r>
    </w:p>
    <w:p>
      <w:r>
        <w:t xml:space="preserve">《通知》要求，投标标位最小变动幅度为0.01%，可不连续投标；每家中央国库现金管理商业银行定期存款业务参与银行每一标位最小投标限额为0.1亿元，投标额变动幅度为0.1亿元的整数倍。每家参与银行投标额不得超过当期中央国库现金定期存款招标额的20％。</w:t>
      </w:r>
    </w:p>
    <w:p>
      <w:r>
        <w:t xml:space="preserve">《通知》明确，中标原则：（一）全场投标总额小于或等于当期招标额时全额募入；全场投标总额大于当期招标额时，按照高利率优先的原则逐笔募入，直到募满招标额为止。（二）当边际中标标位上的投标额大于剩余招标额时，以每家参与银行在该标位投标额为权重进行分配，取整至0.1亿元，尾数按投标时间优先原则分配。</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自律监管措施和纪律处分实施细则"/>
      <w:bookmarkEnd w:id="27"/>
      <w:r>
        <w:t xml:space="preserve">深交所发布《自律监管措施和纪律处分实施细则》</w:t>
      </w:r>
    </w:p>
    <w:p>
      <w:r>
        <w:t xml:space="preserve">近日，深交所对《深圳证券交易所自律监管措施和纪律处分措施实施细则（试行）》进行了修订，印发《深圳证券交易所自律监管措施和纪律处分实施细则》（《细则》），《细则》共4章60条条款，自发布之日起施行。</w:t>
      </w:r>
    </w:p>
    <w:p>
      <w:r>
        <w:t xml:space="preserve">《细则》规定，本所设纪律处分委员会，采取纪律处分审议会议或者本细则规定的其他形式审议纪律处分事项。 纪律处分委员会委员不少于二十名，由本所高级管理人员和相关业务部门的工作人员组成。纪律处分委员会委员出席纪律处分审议会，根据自身专业判断，独立发表审议意见并行使表决权，不受任何单位和个人的干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三部门印发国有科技型企业股权和分红激励暂行办法"/>
      <w:bookmarkEnd w:id="30"/>
      <w:r>
        <w:t xml:space="preserve">三部门印发国有科技型企业股权和分红激励暂行办法</w:t>
      </w:r>
    </w:p>
    <w:p>
      <w:r>
        <w:t xml:space="preserve">近日，财政部等三部门下发《国有科技型企业股权和分红激励暂行办法》（下称《办法》），自2016年3月1日起施行。</w:t>
      </w:r>
    </w:p>
    <w:p>
      <w:r>
        <w:t xml:space="preserve">《办法》分六章四十六条，包括总体目标与原则、适用范围和激励对象、激励方式和实施条件、激励方案的管理、实施中所涉及的财务管理和产权变动等内容，明确提出了新时期推进国有科技型企业股权和分红激励的具体要求，规范了实施激励的方式和程序。其中，《办法》明确，符合条件的国有科技型企业，可采取股权出售、股权奖励、股权期权等股权激励方式，或项目收益分红、岗位分红等分红激励方式，对企业重要技术人员和经营管理人员实施激励。</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三部委印发加强信息共享促进产融合作行动方案"/>
      <w:bookmarkEnd w:id="33"/>
      <w:r>
        <w:t xml:space="preserve">三部委印发《加强信息共享促进产融合作行动方案》</w:t>
      </w:r>
    </w:p>
    <w:p>
      <w:r>
        <w:t xml:space="preserve">为积极推进供给侧结构性改革，增强金融支持政策的导向性、针对性、有效性和可操作性，3月2日，工信部、中国人民银行、银监会联合印发《加强信息共享 促进产融合作行动方案》（《方案》）。</w:t>
      </w:r>
    </w:p>
    <w:p>
      <w:r>
        <w:t xml:space="preserve">《方案》明确，充分利用大数据、云计算等信息技术手段，依托各地工业和信息化系统，建立产融信息对接服务平台，建立方便、快捷、高效的信息沟通交流渠道，实现企业融资需求网上申请、即时汇总、分类整理、及时推荐，提高产融信息对接效率。</w:t>
      </w:r>
    </w:p>
    <w:p>
      <w:r>
        <w:t xml:space="preserve">《方案》提出，对符合《中国制造2025》、“互联网+”行动计划、“一带一路”建设、京津冀协同发展、长江经济带等重大战略以及国家重点发展的智能制造装备、航空航天、新能源汽车、电子信息、海洋工程装备和高技术船舶、新材料等领域符合信贷条件的重点企业，要加大支持力度。</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税收"/>
      <w:bookmarkEnd w:id="36"/>
      <w:r>
        <w:t xml:space="preserve">税收</w:t>
      </w:r>
    </w:p>
    <w:p>
      <w:pPr>
        <w:pStyle w:val="Heading3"/>
      </w:pPr>
      <w:bookmarkStart w:id="37" w:name="税总发文落实取消17项涉税审批"/>
      <w:bookmarkEnd w:id="37"/>
      <w:r>
        <w:t xml:space="preserve">税总发文落实取消17项涉税审批</w:t>
      </w:r>
    </w:p>
    <w:p>
      <w:r>
        <w:t xml:space="preserve">近日，国税总局发布《贯彻落实〈国务院关于第二批取消152项中央指定地方实施行政审批事项的决定〉的通知》（下称《通知》）。</w:t>
      </w:r>
    </w:p>
    <w:p>
      <w:r>
        <w:t xml:space="preserve">《通知》要求，各级地方税务机关不得以任何形式保留或者变相审批，应及时修改涉及取消中央指定地方税务机关实施行政审批事项的相关规定、表证单书和征管流程，做好取消事项的后续衔接，加强事中事后管理。同时，《通知》一并列出国务院决定第二批取消中央指定地方实施的行政审批事项目录中的17项涉税内容，其中包括“创业投资企业享受创业投资所得税优惠核准”、“房地产开发企业计税成本对象确定核准”以及“非居民企业股权转让选择特殊性税务处理核准”等。</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两部门明确保险保障基金税收政策问题"/>
      <w:bookmarkEnd w:id="40"/>
      <w:r>
        <w:t xml:space="preserve">两部门明确保险保障基金税收政策问题</w:t>
      </w:r>
    </w:p>
    <w:p>
      <w:r>
        <w:t xml:space="preserve">近日，财政部、国税总局发布《关于保险保障基金有关税收政策问题的通知》（下称《通知》）。</w:t>
      </w:r>
    </w:p>
    <w:p>
      <w:r>
        <w:t xml:space="preserve">《通知》规定：一、对中国保险保障基金有限责任公司（保险保障基金公司）根据《保险保障基金管理办法》（《办法》）取得的“境内保险公司依法缴纳的保险保障基金”等6种收入，免征企业所得税；二、对保险保障基金公司根据《办法》取得“境内保险公司依法缴纳的保险保障基金”等2种收入，免征营业税；三、对保险保障基金公司“新设立的资金账簿”等4种应税凭证，免征印花税。此外，根据《通知》，除第二条外，自2015年1月1日起至2017年12月31日止执行；第二条自2015年1月1日起至金融业实施营业税改征增值税改革之日止执行。</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行业"/>
      <w:bookmarkEnd w:id="43"/>
      <w:r>
        <w:t xml:space="preserve">行业</w:t>
      </w:r>
    </w:p>
    <w:p>
      <w:pPr>
        <w:pStyle w:val="Heading3"/>
      </w:pPr>
      <w:bookmarkStart w:id="44" w:name="最高法旅游局联合通知-促旅游业持续健康发展"/>
      <w:bookmarkEnd w:id="44"/>
      <w:r>
        <w:t xml:space="preserve">最高法旅游局联合通知 促旅游业持续健康发展</w:t>
      </w:r>
    </w:p>
    <w:p>
      <w:r>
        <w:t xml:space="preserve">日前，最高人民法院、国家旅游局联合下发《关于进一步发挥审判职能作用促进旅游业健康发展的通知》（《通知》），要求各级人民法院和各地旅游委、局，进一步发挥人民法院和旅游主管部门职能作用，维护旅游者和旅游经营者合法权益，更好地规范旅游市场秩序，保障和促进旅游业持续健康发展。</w:t>
      </w:r>
    </w:p>
    <w:p>
      <w:r>
        <w:t xml:space="preserve">《通知》指出，要充分认识及时妥善化解旅游纠纷的重要性；人民法院要不断夯实基层基础，有针对性地加强旅游景区等游客相对集中区域派出法庭建设和巡回审判工作；各级旅游主管部门要积极支持人民法院审理旅游纠纷案件；建立人民法院与旅游主管部门解决旅游纠纷的沟通交流机制。</w:t>
      </w:r>
    </w:p>
    <w:p>
      <w:r>
        <w:t xml:space="preserve">《通知》要求，旅游投诉受理机构接到投诉，应当依法及时做出行政调解或者移交有关部门处理。对调解不成的，引导当事人向人民法院起诉，形成“诉调对接”。要认真做好旅游纠纷数量、类型、争议焦点等数据搜集统计工作，为人民法院更好开展就地化解矛盾纠纷提供支撑。</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安监总局宣布160部安全生产文件失效"/>
      <w:bookmarkEnd w:id="47"/>
      <w:r>
        <w:t xml:space="preserve">安监总局宣布160部安全生产文件失效</w:t>
      </w:r>
    </w:p>
    <w:p>
      <w:r>
        <w:t xml:space="preserve">近日，安监总局发布《关于宣布失效一批安全生产文件的通知》（下称《通知》）。</w:t>
      </w:r>
    </w:p>
    <w:p>
      <w:r>
        <w:t xml:space="preserve">《通知》决定，对与现行法律法规规定精神不一致、已被新规定涵盖或替代、调整对象已消失、工作任务已完成或适用期已过的160件安全生产文件宣布失效。凡宣布失效的自《通知》印发之日起停止执行。《通知》还一并公布了失效的安全生产文件目录，包括“关于进一步做好非煤矿山安全整治工作的通知（安监管管一字〔2001〕64号）”、“关于印发进一步加强冶金行业安全生产工作的指导意见的通知（安监总管一字〔2005〕172号）”等。</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十部门发布意见促进绿色消费"/>
      <w:bookmarkEnd w:id="50"/>
      <w:r>
        <w:t xml:space="preserve">十部门发布意见促进绿色消费</w:t>
      </w:r>
    </w:p>
    <w:p>
      <w:r>
        <w:t xml:space="preserve">日前，国家发改委等十部门联合印发《关于促进绿色消费的指导意见》（下称《意见》）。</w:t>
      </w:r>
    </w:p>
    <w:p>
      <w:r>
        <w:t xml:space="preserve">《意见》提出，到2020年，绿色消费理念成为社会共识，长效机制基本建立，奢侈浪费行为得到有效遏制，绿色产品市场占有率大幅提高，绿色低碳的生活方式和消费模式基本形成。同时，《意见》明确“推动企业增加绿色产品和服务供给”等六项措施。其中，《意见》指出，鼓励绿色产品消费，继续推广高效节能电机、节能环保汽车、高效照明产品等节能产品。《意见》还强化了企业社会责任，要求健全生产者责任延伸制，推动生产企业减少有毒有害物质的使用，主动披露产品和服务的能效、水效、环境绩效等信息，推动实施企业产品标准自我声明公开和监督制度。</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国家食药总局发布保健食品注册与备案管理办法"/>
      <w:bookmarkEnd w:id="53"/>
      <w:r>
        <w:t xml:space="preserve">国家食药总局发布《保健食品注册与备案管理办法》</w:t>
      </w:r>
    </w:p>
    <w:p>
      <w:r>
        <w:t xml:space="preserve">为贯彻落实新《食品安全法》有关保健食品产品注册与备案管理的新模式和新要求，进一步落实行政审批制度改革精神，规范和加强保健食品注册备案管理工作，2016年2月26日，国家食品药品监督管理总局印发《保健食品注册与备案管理办法》（《办法》）。该办法共8章75条，将于2016年7月1日起施行。</w:t>
      </w:r>
    </w:p>
    <w:p>
      <w:r>
        <w:t xml:space="preserve">与以往的注册管理制度相比，《办法》依据新食品安全法，对保健食品实行注册与备案相结合的分类管理制度。对使用保健食品原料目录以外原料的保健食品和首次进口的保健食品实行注册管理。对使用的原料已经列入保健食品原料目录的和首次进口的属于补充维生素、矿物质等营养物质的保健食品实行备案管理。首次进口属于补充维生素、矿物质等营养物质的保健食品，其营养物质应当是列入保健食品原料目录的物质。</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国务院决定整合调整餐饮服务场所两类许可证"/>
      <w:bookmarkEnd w:id="56"/>
      <w:r>
        <w:t xml:space="preserve">国务院决定整合调整餐饮服务场所两类许可证</w:t>
      </w:r>
    </w:p>
    <w:p>
      <w:r>
        <w:t xml:space="preserve">国务院日前印发《国务院关于整合调整餐饮服务场所的公共场所卫生许可证和食品经营许可证的决定》（《决定》）。</w:t>
      </w:r>
    </w:p>
    <w:p>
      <w:r>
        <w:t xml:space="preserve">《决定》提出，取消地方卫生部门对饭馆、咖啡馆、酒吧、茶座4类公共场所核发的卫生许可证，有关食品安全许可内容整合进食品药品监管部门核发的食品经营许可证，由食品药品监管部门一家许可、统一监管。这项改革涉及全国243万家餐饮企业和1445万从业人员，有利于切实为企业松绑减负，有利于鼓励创业、扩大就业，促进经济增长。</w:t>
      </w:r>
    </w:p>
    <w:p>
      <w:r>
        <w:t xml:space="preserve">《决定》要求，取消餐饮服务场所的公共场所卫生许可证后，各级食品药品监管部门要切实落实对餐饮企业的监管责任，进一步规范食品经营许可证审批和发放行为，依法依规依标准进行事前审查，编制服务指南，制定内部审查细则，优化审批流程，缩短审批时限，实行办理时限承诺制，着力提高办证效率。</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三部门发文推进互联网智慧能源发展"/>
      <w:bookmarkEnd w:id="59"/>
      <w:r>
        <w:t xml:space="preserve">三部门发文推进“互联网+”智慧能源发展</w:t>
      </w:r>
    </w:p>
    <w:p>
      <w:r>
        <w:t xml:space="preserve">近日，国家发改委等三部门发布《关于推进“互联网+”智慧能源发展的指导意见》（下称《意见》）。</w:t>
      </w:r>
    </w:p>
    <w:p>
      <w:r>
        <w:t xml:space="preserve">《意见》提出，2019至2025年，着力推进能源互联网多元化、规模化发展：初步建成能源互联网产业体系，成为经济增长重要驱动力，建成较为完善的能源互联网市场机制和市场体系。为此，《意见》明确“推动建设智能化能源生产消费基础设施”等十项重点任务。其中，《意见》要求，推动可再生能源生产智能化，鼓励建设智能风电场、智能光伏电站等设施及基于互联网的智慧运行云平台；推进化石能源生产清洁高效智能化，鼓励煤、油、气开采、加工及利用全链条智能化改造等。</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深海海底区域资源勘探开发法获通过"/>
      <w:bookmarkEnd w:id="62"/>
      <w:r>
        <w:t xml:space="preserve">深海海底区域资源勘探开发法获通过</w:t>
      </w:r>
    </w:p>
    <w:p>
      <w:r>
        <w:t xml:space="preserve">日前，十二届全国人大常委会第十九次会议表决通过《深海海底区域资源勘探开发法》（简称《深海法》），经第42号主席令签署公布，自2016年5月1日施行。</w:t>
      </w:r>
    </w:p>
    <w:p>
      <w:r>
        <w:t xml:space="preserve">《深海法》适用于中国公民、法人或其他组织从事深海海底区域资源勘探、开发和相关环境保护、科学技术研究、资源调查活动。《深海法》规定，国家保护从事深海海底区域资源勘探、开发和资源调查活动的中国公民、法人或其他组织的正当权益。在向国际海底管理局申请从事深海海底区域资源勘探、开发活动前，应向国务院海洋主管部门提出申请，并提交“勘探、开发工作计划”等五项材料。此外，《深海法》还强调，承包者对勘探、开发合同区域内特定资源享有相应的专属勘探、开发权，应履行勘探、开发合同义务，保障作业人员人身安全，保护海洋环境。</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国务院印发中医药发展战略规划纲要"/>
      <w:bookmarkEnd w:id="65"/>
      <w:r>
        <w:t xml:space="preserve">国务院印发中医药发展战略规划纲要</w:t>
      </w:r>
    </w:p>
    <w:p>
      <w:r>
        <w:t xml:space="preserve">日前，国务院下发《中医药发展战略规划纲要（2016-2030年）》（下称《纲要》），明确了未来十五年我国中医药发展方向和工作重点。</w:t>
      </w:r>
    </w:p>
    <w:p>
      <w:r>
        <w:t xml:space="preserve">《纲要》提出，到2030年，中医药服务领域实现全覆盖，中医药健康服务能力显著增强，对经济社会发展作出更大贡献。为此，《纲要》确立了今后一个时期的重点任务：一要提高中医医疗服务能力，完善覆盖城乡的中医医疗服务网络，促进中西医结合和民族医药发展，放宽中医药服务准入，推动“互联网+”中医医疗。二要发展中医养生保健服务。三要做好中医药理论方法继承。四要推进中医药创新。五要提升中药产业发展水平，促进中药工业转型升级，构建现代中药材流通体系。六要弘扬中医药文化，发展中医药文化产业。七要推动中医药海外发展，扩大中医药国际贸易。</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十部门发文加强物流短板建设-促投资消费"/>
      <w:bookmarkEnd w:id="68"/>
      <w:r>
        <w:t xml:space="preserve">十部门发文加强物流短板建设 促投资消费</w:t>
      </w:r>
    </w:p>
    <w:p>
      <w:r>
        <w:t xml:space="preserve">近日，发改委、商务部、工信部等十部门联合发布《关于加强物流短板建设促进有效投资和居民消费的若干意见》（《意见》），旨在大力加强物流短板领域建设，加快健全完善物流基础设施网络。</w:t>
      </w:r>
    </w:p>
    <w:p>
      <w:r>
        <w:t xml:space="preserve">《意见》明确重点任务，鼓励地方政府加强农村物流设施网络规划和建设，整合利用现有邮政、供销、交通等物流资源，推动县级仓储配送中心、农村物流快递公共取送点建设，加快形成网络规模效应。鼓励电商企业与农产品生产加工企业联动发展，建立特色农产品电商物流标准和追溯标准。优化重要节点物流基础设施布局，完善城市三级配送网络建设。</w:t>
      </w:r>
    </w:p>
    <w:p>
      <w:r>
        <w:t xml:space="preserve">在加强信息技术应用方面，《意见》提出，促进物流新模式发展。研究制定“互联网+”高效物流三年行动实施方案。加强物联网、云计算、大数据、移动互联等先进信息技术在物流领域的应用，改造传统业务模式和管理系统，优化物流资源配置，提升物流运作水平。</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安监总局发布煤矿企业安全生产许可证实施办法"/>
      <w:bookmarkEnd w:id="71"/>
      <w:r>
        <w:t xml:space="preserve">安监总局发布煤矿企业安全生产许可证实施办法</w:t>
      </w:r>
    </w:p>
    <w:p>
      <w:r>
        <w:t xml:space="preserve">近日，安监总局下发修订后的《煤矿企业安全生产许可证实施办法》（下称《办法》），自2016年4月1日施行。</w:t>
      </w:r>
    </w:p>
    <w:p>
      <w:r>
        <w:t xml:space="preserve">煤矿企业必须依本《办法》规定取得安全生产许可证，未取得者不得从事生产活动。其中，《办法》规定，煤矿企业取得安全生产许可证，应具备“参加工伤保险，为从业人员缴纳工伤保险费”等九项安全生产条件。同时，《办法》明确了申领安全生产许可证应提供的文件资料，并强调颁发管理机关应在受理申请之日起45个工作日内作出颁发或不予颁发决定。此外，《办法》还指出，安全生产许可证有效期为3年，煤矿企业应于期满前3个月向原颁发机关提出延期申请。</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知识产权"/>
      <w:bookmarkEnd w:id="74"/>
      <w:r>
        <w:t xml:space="preserve">知识产权</w:t>
      </w:r>
    </w:p>
    <w:p>
      <w:pPr>
        <w:pStyle w:val="Heading3"/>
      </w:pPr>
      <w:bookmarkStart w:id="75" w:name="国知局发布审定开办专利代理业务公告"/>
      <w:bookmarkEnd w:id="75"/>
      <w:r>
        <w:t xml:space="preserve">国知局发布审定开办专利代理业务公告</w:t>
      </w:r>
    </w:p>
    <w:p>
      <w:r>
        <w:t xml:space="preserve">近日，国家知识产权局发布《关于落实〈国务院关于第二批取消152项中央指定地方实施行政审批事项的决定〉的公告》（下称《公告》。</w:t>
      </w:r>
    </w:p>
    <w:p>
      <w:r>
        <w:t xml:space="preserve">《公告》称，申请设立专利代理机构、律师事务所申请开办专利代理业务的，可直接向国知局提出申请，并由国知局审批决定。同时，《公告》对申请设立专利代理机构、律所申请开办专利代理业务流程加以明确，规定专利代理机构设立和注册事项变更的审批过程中不再要求提交“合伙人/股东人事档案存放证明”等证明文件和全部纸质申请材料。此外，《公告》还提示，律所申请开办专利代理业务的，还应提供主管该所的司法行政机关出具的同意其开办专利代理业务的函件、律所执业许可证和专利代理人律师执业证电子件。</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2"/>
      </w:pPr>
      <w:bookmarkStart w:id="78" w:name="并购"/>
      <w:bookmarkEnd w:id="78"/>
      <w:r>
        <w:t xml:space="preserve">并购</w:t>
      </w:r>
    </w:p>
    <w:p>
      <w:pPr>
        <w:pStyle w:val="Heading3"/>
      </w:pPr>
      <w:bookmarkStart w:id="79" w:name="奥维通信并购雪鲤鱼"/>
      <w:bookmarkEnd w:id="79"/>
      <w:r>
        <w:t xml:space="preserve">奥维通信并购雪鲤鱼</w:t>
      </w:r>
    </w:p>
    <w:p>
      <w:r>
        <w:t xml:space="preserve">奥维通信3月2日晚间公告，公司拟以14.04元/股的价格，发行股份及支付现金对价18.6亿元，购买程雪平、俞思敏、诸一楠合计持有的上海雪鲤鱼计算机科技有限公司（简称“雪鲤鱼”）100%股权。</w:t>
      </w:r>
    </w:p>
    <w:p>
      <w:r>
        <w:t xml:space="preserve">同时，公司拟向公司实际控制人杜方，以及其他不超过9名特定对象非公开发行股票募集配套资金不超过91360万元，发行数量不超过5841.43万股。募集资金用于支付现金对价、补充公司流动资金以及此次交易中介机构费用。此部分股票的发行底价为15.64元/股。</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坚瑞消防收购沃特玛"/>
      <w:bookmarkEnd w:id="82"/>
      <w:r>
        <w:t xml:space="preserve">坚瑞消防收购沃特玛</w:t>
      </w:r>
    </w:p>
    <w:p>
      <w:r>
        <w:t xml:space="preserve">坚瑞消防2月29日晚间公告，公司拟以8.63元/股的价格，向沃特玛全体股东发行4.63亿股，并支付现金12亿元，合计作价52亿元收购沃特玛100%股权。同时拟以9.90元/股向坚瑞新能源、君彤新能源、兴业财富、郁泰登硕、水投投资非公开发行2.52亿股，募集配套资金总额不超过25亿元。</w:t>
      </w:r>
    </w:p>
    <w:p>
      <w:r>
        <w:t xml:space="preserve">募投项目方面，公司拟投12.7亿元支付交易现金对价及交易费用；投入4亿元用于圆柱形锂电池生产线项目；投入8.3亿元用于偿还标的公司银行贷款并补充其流动资金。</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众信旅游26亿元并购华远国旅"/>
      <w:bookmarkEnd w:id="85"/>
      <w:r>
        <w:t xml:space="preserve">众信旅游26亿元并购华远国旅</w:t>
      </w:r>
    </w:p>
    <w:p>
      <w:r>
        <w:t xml:space="preserve">众信旅游2月29日晚间公告，公司拟以35.82元/股的价格，向上海携程等11名股东发行股份及支付现金，购买其合计持有的华远国旅100%股权，交易作价26亿元。</w:t>
      </w:r>
    </w:p>
    <w:p>
      <w:r>
        <w:t xml:space="preserve">同时，公司向不超过10名特定对象发行股份募集配套资金不超过26亿元。其中，支付此次交易的现金对价2.6亿元，投向海外目的地生活平台建设项目1.85亿元、“出境云”大数据管理分析平台5.62亿元、出境游业务平台11.56亿元、海外教育服务平台1.94亿元、补充流动资金2.53亿元。此部分股票的发行底价为42.01元/股。停牌前最后一个交易日，众信旅游收报52.62元。</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上海电气欲收购德国公司发力智能制造"/>
      <w:bookmarkEnd w:id="88"/>
      <w:r>
        <w:t xml:space="preserve">上海电气欲收购德国公司发力智能制造</w:t>
      </w:r>
    </w:p>
    <w:p>
      <w:r>
        <w:t xml:space="preserve">上海电气2月29日发布对外投资公告，公司于2月28日与Manz AG及其相关方签署了投资协议。根据该协议，公司将收购Manz AG发行的股份。同时，Manz AG将以现金为对价向其现有股东以约每1股配0.43股的比例增发新股，新股的增发价将不超过每股40欧元。</w:t>
      </w:r>
    </w:p>
    <w:p>
      <w:r>
        <w:t xml:space="preserve">根据该协议，上海电气将指定一家下属子公司认购未被Manz AG现有股东认购的增发股份。Manz AG的大股东Dieter Manz及其配偶（分别持有Manz AG35.2%及3.8%的股份）将放弃各自的认购权。上海电气下属子公司此次增资认购的最高投资额预计为9292.90万欧元，对应为Manz AG增资后其约29.9%的股本。</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1">
        <w:r>
          <w:rPr>
            <w:rStyle w:val="Link"/>
          </w:rPr>
          <w:t xml:space="preserve">unsubscribe@charltonslaw.com</w:t>
        </w:r>
      </w:hyperlink>
    </w:p>
    <w:p>
      <w:r>
        <w:rPr>
          <w:b/>
        </w:rPr>
        <w:t xml:space="preserve">易周律师行 - 法讯 - 中国 - 第491期 - 2016年03月07日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eccc8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9" Target="http://epaper.stcn.com/paper/zqsb/html/2016-02/29/content_792200.htm" TargetMode="External" /><Relationship Type="http://schemas.openxmlformats.org/officeDocument/2006/relationships/hyperlink" Id="rId83" Target="http://epaper.stcn.com/paper/zqsb/html/2016-03/01/content_792729.htm" TargetMode="External" /><Relationship Type="http://schemas.openxmlformats.org/officeDocument/2006/relationships/hyperlink" Id="rId86" Target="http://epaper.stcn.com/paper/zqsb/html/2016-03/01/content_792733.htm" TargetMode="External" /><Relationship Type="http://schemas.openxmlformats.org/officeDocument/2006/relationships/hyperlink" Id="rId80" Target="http://epaper.stcn.com/paper/zqsb/html/epaper/index/content_793443.htm" TargetMode="External" /><Relationship Type="http://schemas.openxmlformats.org/officeDocument/2006/relationships/hyperlink" Id="rId25" Target="http://gks.mof.gov.cn/zhengfuxinxi/gongzuodongtai/201603/t20160301_1797769.html" TargetMode="External" /><Relationship Type="http://schemas.openxmlformats.org/officeDocument/2006/relationships/hyperlink" Id="rId31" Target="http://qys.mof.gov.cn/zhuantilanmu/zbgl/201602/t20160229_1796556.html" TargetMode="External" /><Relationship Type="http://schemas.openxmlformats.org/officeDocument/2006/relationships/hyperlink" Id="rId41" Target="http://szs.mof.gov.cn/zhengwuxinxi/zhengcefabu/201602/t20160229_1796782.html" TargetMode="External" /><Relationship Type="http://schemas.openxmlformats.org/officeDocument/2006/relationships/hyperlink" Id="rId21" Target="http://www.charltonslaw.com.cn/china-news-alerts-cn-issue-491/" TargetMode="External" /><Relationship Type="http://schemas.openxmlformats.org/officeDocument/2006/relationships/hyperlink" Id="rId72" Target="http://www.chinasafety.gov.cn/newpage/Contents/Channel_5330/2016/0302/265523/content_265523.htm" TargetMode="External" /><Relationship Type="http://schemas.openxmlformats.org/officeDocument/2006/relationships/hyperlink" Id="rId48" Target="http://www.chinasafety.gov.cn/newpage/Contents/Channel_6288/2016/0301/265454/content_265454.htm" TargetMode="External" /><Relationship Type="http://schemas.openxmlformats.org/officeDocument/2006/relationships/hyperlink" Id="rId38" Target="http://www.chinatax.gov.cn/n810341/n810755/c2022923/content.html" TargetMode="External" /><Relationship Type="http://schemas.openxmlformats.org/officeDocument/2006/relationships/hyperlink" Id="rId45" Target="http://www.cnta.gov.cn/zwgk/tzggnew/201603/t20160301_761914.shtml" TargetMode="External" /><Relationship Type="http://schemas.openxmlformats.org/officeDocument/2006/relationships/hyperlink" Id="rId66" Target="http://www.gov.cn/zhengce/content/2016-02/26/content_5046678.htm" TargetMode="External" /><Relationship Type="http://schemas.openxmlformats.org/officeDocument/2006/relationships/hyperlink" Id="rId57" Target="http://www.gov.cn/zhengce/content/2016-02/29/content_5047292.htm" TargetMode="External" /><Relationship Type="http://schemas.openxmlformats.org/officeDocument/2006/relationships/hyperlink" Id="rId34" Target="http://www.miit.gov.cn/n1146295/n1652858/n1652930/n3757016/c4655373/content.html" TargetMode="External" /><Relationship Type="http://schemas.openxmlformats.org/officeDocument/2006/relationships/hyperlink" Id="rId63" Target="http://www.npc.gov.cn/npc/xinwen/2016-02/29/content_1964386.htm" TargetMode="External" /><Relationship Type="http://schemas.openxmlformats.org/officeDocument/2006/relationships/hyperlink" Id="rId54" Target="http://www.sda.gov.cn/WS01/CL0053/145380.html" TargetMode="External" /><Relationship Type="http://schemas.openxmlformats.org/officeDocument/2006/relationships/hyperlink" Id="rId60" Target="http://www.sdpc.gov.cn/gzdt/201602/t20160229_790968.html" TargetMode="External" /><Relationship Type="http://schemas.openxmlformats.org/officeDocument/2006/relationships/hyperlink" Id="rId51" Target="http://www.sdpc.gov.cn/gzdt/201603/t20160301_791591.html" TargetMode="External" /><Relationship Type="http://schemas.openxmlformats.org/officeDocument/2006/relationships/hyperlink" Id="rId69" Target="http://www.sdpc.gov.cn/zcfb/zcfbtz/201603/t20160303_791834.html" TargetMode="External" /><Relationship Type="http://schemas.openxmlformats.org/officeDocument/2006/relationships/hyperlink" Id="rId76" Target="http://www.sipo.gov.cn/zwgg/gg/201602/t20160229_1244734.html" TargetMode="External" /><Relationship Type="http://schemas.openxmlformats.org/officeDocument/2006/relationships/hyperlink" Id="rId28" Target="http://www.szse.cn/main/disclosure/bsgg_front/39758776.shtml" TargetMode="External" /><Relationship Type="http://schemas.openxmlformats.org/officeDocument/2006/relationships/hyperlink" Id="rId9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0" Target="15.pdf" TargetMode="External" /><Relationship Type="http://schemas.openxmlformats.org/officeDocument/2006/relationships/hyperlink" Id="rId73" Target="16.pdf" TargetMode="External" /><Relationship Type="http://schemas.openxmlformats.org/officeDocument/2006/relationships/hyperlink" Id="rId77"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9" Target="http://epaper.stcn.com/paper/zqsb/html/2016-02/29/content_792200.htm" TargetMode="External" /><Relationship Type="http://schemas.openxmlformats.org/officeDocument/2006/relationships/hyperlink" Id="rId83" Target="http://epaper.stcn.com/paper/zqsb/html/2016-03/01/content_792729.htm" TargetMode="External" /><Relationship Type="http://schemas.openxmlformats.org/officeDocument/2006/relationships/hyperlink" Id="rId86" Target="http://epaper.stcn.com/paper/zqsb/html/2016-03/01/content_792733.htm" TargetMode="External" /><Relationship Type="http://schemas.openxmlformats.org/officeDocument/2006/relationships/hyperlink" Id="rId80" Target="http://epaper.stcn.com/paper/zqsb/html/epaper/index/content_793443.htm" TargetMode="External" /><Relationship Type="http://schemas.openxmlformats.org/officeDocument/2006/relationships/hyperlink" Id="rId25" Target="http://gks.mof.gov.cn/zhengfuxinxi/gongzuodongtai/201603/t20160301_1797769.html" TargetMode="External" /><Relationship Type="http://schemas.openxmlformats.org/officeDocument/2006/relationships/hyperlink" Id="rId31" Target="http://qys.mof.gov.cn/zhuantilanmu/zbgl/201602/t20160229_1796556.html" TargetMode="External" /><Relationship Type="http://schemas.openxmlformats.org/officeDocument/2006/relationships/hyperlink" Id="rId41" Target="http://szs.mof.gov.cn/zhengwuxinxi/zhengcefabu/201602/t20160229_1796782.html" TargetMode="External" /><Relationship Type="http://schemas.openxmlformats.org/officeDocument/2006/relationships/hyperlink" Id="rId21" Target="http://www.charltonslaw.com.cn/china-news-alerts-cn-issue-491/" TargetMode="External" /><Relationship Type="http://schemas.openxmlformats.org/officeDocument/2006/relationships/hyperlink" Id="rId72" Target="http://www.chinasafety.gov.cn/newpage/Contents/Channel_5330/2016/0302/265523/content_265523.htm" TargetMode="External" /><Relationship Type="http://schemas.openxmlformats.org/officeDocument/2006/relationships/hyperlink" Id="rId48" Target="http://www.chinasafety.gov.cn/newpage/Contents/Channel_6288/2016/0301/265454/content_265454.htm" TargetMode="External" /><Relationship Type="http://schemas.openxmlformats.org/officeDocument/2006/relationships/hyperlink" Id="rId38" Target="http://www.chinatax.gov.cn/n810341/n810755/c2022923/content.html" TargetMode="External" /><Relationship Type="http://schemas.openxmlformats.org/officeDocument/2006/relationships/hyperlink" Id="rId45" Target="http://www.cnta.gov.cn/zwgk/tzggnew/201603/t20160301_761914.shtml" TargetMode="External" /><Relationship Type="http://schemas.openxmlformats.org/officeDocument/2006/relationships/hyperlink" Id="rId66" Target="http://www.gov.cn/zhengce/content/2016-02/26/content_5046678.htm" TargetMode="External" /><Relationship Type="http://schemas.openxmlformats.org/officeDocument/2006/relationships/hyperlink" Id="rId57" Target="http://www.gov.cn/zhengce/content/2016-02/29/content_5047292.htm" TargetMode="External" /><Relationship Type="http://schemas.openxmlformats.org/officeDocument/2006/relationships/hyperlink" Id="rId34" Target="http://www.miit.gov.cn/n1146295/n1652858/n1652930/n3757016/c4655373/content.html" TargetMode="External" /><Relationship Type="http://schemas.openxmlformats.org/officeDocument/2006/relationships/hyperlink" Id="rId63" Target="http://www.npc.gov.cn/npc/xinwen/2016-02/29/content_1964386.htm" TargetMode="External" /><Relationship Type="http://schemas.openxmlformats.org/officeDocument/2006/relationships/hyperlink" Id="rId54" Target="http://www.sda.gov.cn/WS01/CL0053/145380.html" TargetMode="External" /><Relationship Type="http://schemas.openxmlformats.org/officeDocument/2006/relationships/hyperlink" Id="rId60" Target="http://www.sdpc.gov.cn/gzdt/201602/t20160229_790968.html" TargetMode="External" /><Relationship Type="http://schemas.openxmlformats.org/officeDocument/2006/relationships/hyperlink" Id="rId51" Target="http://www.sdpc.gov.cn/gzdt/201603/t20160301_791591.html" TargetMode="External" /><Relationship Type="http://schemas.openxmlformats.org/officeDocument/2006/relationships/hyperlink" Id="rId69" Target="http://www.sdpc.gov.cn/zcfb/zcfbtz/201603/t20160303_791834.html" TargetMode="External" /><Relationship Type="http://schemas.openxmlformats.org/officeDocument/2006/relationships/hyperlink" Id="rId76" Target="http://www.sipo.gov.cn/zwgg/gg/201602/t20160229_1244734.html" TargetMode="External" /><Relationship Type="http://schemas.openxmlformats.org/officeDocument/2006/relationships/hyperlink" Id="rId28" Target="http://www.szse.cn/main/disclosure/bsgg_front/39758776.shtml" TargetMode="External" /><Relationship Type="http://schemas.openxmlformats.org/officeDocument/2006/relationships/hyperlink" Id="rId9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第491期 - 2016年03月07日</dc:title>
  <dc:creator/>
</cp:coreProperties>
</file>