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第492期</w:t>
      </w:r>
      <w:r>
        <w:t xml:space="preserve"> </w:t>
      </w:r>
      <w:r>
        <w:t xml:space="preserve">-</w:t>
      </w:r>
      <w:r>
        <w:t xml:space="preserve"> </w:t>
      </w:r>
      <w:r>
        <w:t xml:space="preserve">2016年03月11日</w:t>
      </w:r>
    </w:p>
    <w:p>
      <w:hyperlink r:id="rId21">
        <w:r>
          <w:rPr>
            <w:rStyle w:val="Link"/>
          </w:rPr>
          <w:t xml:space="preserve">网络版</w:t>
        </w:r>
      </w:hyperlink>
    </w:p>
    <w:p>
      <w:pPr>
        <w:pStyle w:val="Heading1"/>
      </w:pPr>
      <w:bookmarkStart w:id="22" w:name="中国法讯第492期"/>
      <w:bookmarkEnd w:id="22"/>
      <w:r>
        <w:t xml:space="preserve">中国法讯第492期</w:t>
      </w:r>
    </w:p>
    <w:p>
      <w:pPr>
        <w:pStyle w:val="Heading2"/>
      </w:pPr>
      <w:bookmarkStart w:id="23" w:name="税收"/>
      <w:bookmarkEnd w:id="23"/>
      <w:r>
        <w:t xml:space="preserve">税收</w:t>
      </w:r>
    </w:p>
    <w:p>
      <w:pPr>
        <w:pStyle w:val="Heading3"/>
      </w:pPr>
      <w:bookmarkStart w:id="24" w:name="两部门对城市公交站场运营用地等免征城镇土地使用税"/>
      <w:bookmarkEnd w:id="24"/>
      <w:r>
        <w:t xml:space="preserve">两部门：对城市公交站场运营用地等免征城镇土地使用税</w:t>
      </w:r>
    </w:p>
    <w:p>
      <w:r>
        <w:t xml:space="preserve">近日，财政部、国税总局联合发布《关于城市公交站场道路客运站场 城市轨道交通系统城镇土地使用税优惠政策的通知》（下称《通知》），相关政策执行期限为2016年1月1日至2018年12月31日。</w:t>
      </w:r>
    </w:p>
    <w:p>
      <w:r>
        <w:t xml:space="preserve">《通知》规定，对城市公交站场、道路客运站场、城市轨道交通系统运营用地，免征城镇土地使用税。同时，《通知》对“城市公交站场运营用地”、“道路客运站场运营用地”、“城市轨道交通系统运营用地”等涵盖的范围予以明确。此外，《通知》还提示，符合免税条件的单位，须持相关文件及用地情况等向主管税务机关办理备案手续。</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行业"/>
      <w:bookmarkEnd w:id="27"/>
      <w:r>
        <w:t xml:space="preserve">行业</w:t>
      </w:r>
    </w:p>
    <w:p>
      <w:pPr>
        <w:pStyle w:val="Heading3"/>
      </w:pPr>
      <w:bookmarkStart w:id="28" w:name="食品生产经营日常监督检查管理办法发布"/>
      <w:bookmarkEnd w:id="28"/>
      <w:r>
        <w:t xml:space="preserve">食品生产经营日常监督检查管理办法发布</w:t>
      </w:r>
    </w:p>
    <w:p>
      <w:r>
        <w:t xml:space="preserve">3月4日，国家食药监总局发布《食品生产经营日常监督检查管理办法》（《办法》）。该《办法》共5章36条，将于2016年5月1日起实施。</w:t>
      </w:r>
    </w:p>
    <w:p>
      <w:r>
        <w:t xml:space="preserve">《办法》明确，日常监督检查法律责任，针对食品生产经营者撕毁、涂改日常监督检查结果记录表，由市、县级食药监管部门责令改正，给予警告，并处2000元以上3万元以下罚款。</w:t>
      </w:r>
    </w:p>
    <w:p>
      <w:r>
        <w:t xml:space="preserve">《办法》要求，食品生产环节监督检查事项包括食品生产者的生产环境条件、生产过程控制、不合格品管理和食品召回、从业人员管理、食品安全事故处置等情况。例如，食品销售环节监督检查事项、食用农产品集中交易市场开办者、网络食品交易第三方平台提供者履行法律义务；餐饮服务环节监督检查事项包括餐饮服务提供者资质、从业人员健康管理、原料控制、加工制作过程等情况。</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能源效率标识管理办法修订发布"/>
      <w:bookmarkEnd w:id="31"/>
      <w:r>
        <w:t xml:space="preserve">能源效率标识管理办法修订发布</w:t>
      </w:r>
    </w:p>
    <w:p>
      <w:r>
        <w:t xml:space="preserve">近日，国家发改委、质检总局联合发布修订后的《能源效率标识管理办法》（下称《办法》），自2016年6月1日施行。</w:t>
      </w:r>
    </w:p>
    <w:p>
      <w:r>
        <w:t xml:space="preserve">《办法》明确，生产者和进口商应对列入《实行能源效率标识的产品目录》（《目录》）的用能产品标注能效标识，根据国家统一规定的能效标识样式、规格以及标注规定印制和使用能效标识，并在产品包装物上或者使用说明书中予以说明；列入《目录》的用能产品通过网络交易的，还应在产品信息展示主页面醒目位置展示相应的能效标识。同时，《办法》规定，能效标识应包括“能效等级”等六项基本内容。此外，《办法》还强调，列入《目录》的用能产品，生产者应于出厂前、进口商应于进口前向授权机构申请备案。</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三部门印发长江经济带创新驱动产业转型升级方案"/>
      <w:bookmarkEnd w:id="34"/>
      <w:r>
        <w:t xml:space="preserve">三部门印发长江经济带创新驱动产业转型升级方案</w:t>
      </w:r>
    </w:p>
    <w:p>
      <w:r>
        <w:t xml:space="preserve">近日，国家发改委等三部门下发《长江经济带创新驱动产业转型升级方案》（下称《方案》）。</w:t>
      </w:r>
    </w:p>
    <w:p>
      <w:r>
        <w:t xml:space="preserve">《方案》提出，到2020年，长江经济带在创新能力、产业结构、经济发展等方面取得突破性进展。其中创新能力要大幅提升，产业结构明显优化，对全国经济带动作用进一步增强。《方案》要求，长江经济带在新一代信息技术、生物、高端装备继续保持领先水平，节能环保、新材料、新能源、新能源汽车与发达国家差距大幅缩小。另外，《方案》还明确，系统推进上海、安徽（合芜蚌）、武汉、四川（成德绵）的全面创新改革试验，研究推动国家自主创新示范区布局；优先布局一批区域制造业创新中心，推动有条件的地方研究建立长江经济带工业技术研究院；探索建立长江经济带技术交易网络平台、技术转移中心和知识产权交易中心等。</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务院印发进一步加强文物工作的指导意见"/>
      <w:bookmarkEnd w:id="37"/>
      <w:r>
        <w:t xml:space="preserve">国务院印发进一步加强文物工作的指导意见</w:t>
      </w:r>
    </w:p>
    <w:p>
      <w:r>
        <w:t xml:space="preserve">经李克强总理签批，国务院日前印发《关于进一步加强文物工作的指导意见》（《意见》）。《意见》围绕当前文物工作中存在的突出问题，在落实责任、加强保护、拓展利用、严格执法等方面作出了部署。</w:t>
      </w:r>
    </w:p>
    <w:p>
      <w:r>
        <w:t xml:space="preserve">《意见》明确，要健全国家文物登录制度，建立国家文物资源总目录和数据资源库。通过文物保护补偿、公益性基金等，加强私人产权不可移动文物保护维修。制定鼓励社会参与文物保护的政策措施，培育以文物保护为宗旨的社会组织，鼓励民间合法收藏文物，提高公众参与度，形成全社会保护文物的新格局。</w:t>
      </w:r>
    </w:p>
    <w:p>
      <w:r>
        <w:t xml:space="preserve">《意见》强调，要完善文物保护法律法规，加快推进文物保护法修订；强化文物督察，完善监督机制；加强文物执法工作，落实执法责任；严格责任追究，建立文物保护责任终身追究制。</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最高法出台意见服务和保障长江经济带发展"/>
      <w:bookmarkEnd w:id="40"/>
      <w:r>
        <w:t xml:space="preserve">最高法出台意见服务和保障长江经济带发展</w:t>
      </w:r>
    </w:p>
    <w:p>
      <w:r>
        <w:t xml:space="preserve">日前，最高人民法院发布《为长江经济带发展提供司法服务和保障的意见》（《意见》），对充分发挥人民法院审判职能作用，公正高效服务和保障长江经济带发展国家战略，提出明确要求。</w:t>
      </w:r>
    </w:p>
    <w:p>
      <w:r>
        <w:t xml:space="preserve">《意见》共分三个部分，包括增强为长江经济带发展国家战略提供司法服务和保障的责任感与使命感，发挥审判职能作用，创新司法体制机制等内容。</w:t>
      </w:r>
    </w:p>
    <w:p>
      <w:r>
        <w:t xml:space="preserve">《意见》提出要依法严厉惩治环境监管失职犯罪，加强对行政机关不履行环境违法违规行为查处职责案件的审理。要探索建立长江流域水资源环境公益诉讼集中管辖制度。此外，《意见》还强调要通过涉外商事和海事审判精品战略，提升涉外商事和海事审判国际公信力和制度性话语权，为区域内企业全面参与全球经济合作和竞争保驾护航。</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安监总局发文强化安全评价机构监管"/>
      <w:bookmarkEnd w:id="43"/>
      <w:r>
        <w:t xml:space="preserve">安监总局发文强化安全评价机构监管</w:t>
      </w:r>
    </w:p>
    <w:p>
      <w:r>
        <w:t xml:space="preserve">近日，安监总局办公厅发布《关于进一步加强安全评价机构监管工作的通知》（下称《通知》）。</w:t>
      </w:r>
    </w:p>
    <w:p>
      <w:r>
        <w:t xml:space="preserve">《通知》提出，提高安全评价机构准入门槛，严格机构资质条件，鼓励引导其通过兼并、重组等多种方式，充实专业技术人员，优化专业结构，改进评价方法与手段。同时，《通知》要求，加快安全评价诚信体系建设，建立守信激励、失信惩戒的安全评价机构监管机制，实施不良信息记录和“黑名单”制度。此外，《通知》还强调，安全评价机构要依法律法规和职业准则公平竞争，依法与委托方签订技术服务合同，明确服务对象、范围以及双方的权利、义务和责任，严禁假冒他人名义要求服务对象接受有偿服务。</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国家林业局拟规范在国家级自然保护区内修筑设施行为"/>
      <w:bookmarkEnd w:id="46"/>
      <w:r>
        <w:t xml:space="preserve">国家林业局拟规范在国家级自然保护区内修筑设施行为</w:t>
      </w:r>
    </w:p>
    <w:p>
      <w:r>
        <w:t xml:space="preserve">近日，国家林业局下发《在林业部门管理的国家级自然保护区内修筑设施审批管理办法（征求意见稿）》（下称《征求意见稿》），面向社会征求意见，征求截止至2016年4月6日。</w:t>
      </w:r>
    </w:p>
    <w:p>
      <w:r>
        <w:t xml:space="preserve">《征求意见稿》规定，在国家级自然保护区内修筑设施应当不占用或者少占用土地；必须占用的，应当严格控制占用面积，并采取有效措施保护生态，尽量减少对国家级自然保护区的不利影响。同时，《征求意见稿》明确，在国家级自然保护区内修筑“建设光伏发电、风力发电项目”等八类设施之一的，国家林业局作出不予行政许可决定。另外，《征求意见稿》还强调，对国家级自然保护区实验区内未批先建、恢复生态保护不力的设施，应当依法停止建设或者使用，限期整改或者拆除，并采取措施进行生态恢复或者补救。</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国务院办公厅印发关于开展仿制药质量和疗效一致性评价的意见"/>
      <w:bookmarkEnd w:id="49"/>
      <w:r>
        <w:t xml:space="preserve">国务院办公厅印发《关于开展仿制药质量和疗效一致性评价的意见》</w:t>
      </w:r>
    </w:p>
    <w:p>
      <w:r>
        <w:t xml:space="preserve">国务院办公厅日前印发《关于开展仿制药质量和疗效一致性评价的意见》（《意见》），要求化学药品新注册分类实施前批准上市的仿制药，凡未按照与原研药品质量和疗效一致原则审批的，均须开展一致性评价。</w:t>
      </w:r>
    </w:p>
    <w:p>
      <w:r>
        <w:t xml:space="preserve">据介绍，仿制药是与原研药具有相同的活性成分、剂型、给药途径和治疗作用的药品。中国大部分药为仿制药，目前，仿制药基本满足了公众用药需要，但还面临着仿制药质量参差不齐、仿制标准较低、部分药品疗效不确切等问题。</w:t>
      </w:r>
    </w:p>
    <w:p>
      <w:r>
        <w:t xml:space="preserve">《意见》强调，药品生产企业是一致性评价工作的主体，应主动选购参比制剂开展相关研究，确保药品质量和疗效与参比制剂一致。国内药品生产企业已在欧盟、美国和日本获准上市的仿制药，可以国外注册申报的相关资料为基础，按照化学药品新注册分类申报药品上市，批准上市后视同通过一致性评价；在中国境内用同一生产线生产上市并在欧盟、美国和日本获准上市的药品，视同通过一致性评价。</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食药监总局印发特殊医学用途配方食品注册管理办法"/>
      <w:bookmarkEnd w:id="52"/>
      <w:r>
        <w:t xml:space="preserve">食药监总局印发特殊医学用途配方食品注册管理办法</w:t>
      </w:r>
    </w:p>
    <w:p>
      <w:r>
        <w:t xml:space="preserve">日前，国家食药监总局下发《特殊医学用途配方食品注册管理办法》（下称《办法》），自2016年7月1日起施行。</w:t>
      </w:r>
    </w:p>
    <w:p>
      <w:r>
        <w:t xml:space="preserve">《办法》指出，在我国境内生产销售的特殊医学用途配方食品和向我国境内出口的特殊医学用途配方食品，需经食品药品监管总局注册批准。但医疗机构配制供病人食用的营养餐等不适用本《办法》。同时，《办法》明确，注册申请人应符合“具备相应的研发能力，设立特殊医学用途配方食品研发机构并配备专职的产品研发人员，研发机构中应当有食品相关专业高级职称以上或者相当专业能力的人员”等四个条件。此外，《办法》还规定了特殊医学用途配方食品注册程序以及注册时限等事宜。</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并购"/>
      <w:bookmarkEnd w:id="55"/>
      <w:r>
        <w:t xml:space="preserve">并购</w:t>
      </w:r>
    </w:p>
    <w:p>
      <w:pPr>
        <w:pStyle w:val="Heading3"/>
      </w:pPr>
      <w:bookmarkStart w:id="56" w:name="红旗连锁基本完成收购互惠超市"/>
      <w:bookmarkEnd w:id="56"/>
      <w:r>
        <w:t xml:space="preserve">红旗连锁基本完成收购互惠超市</w:t>
      </w:r>
    </w:p>
    <w:p>
      <w:r>
        <w:t xml:space="preserve">2015年7月，红旗连锁曾发布公告，拟收购互惠超市100%股权，收购总价为4.23亿元。红旗连锁也曾于2015年12月17日和2016年1月20日就收购互惠超市的进展工作召开新闻通报会，对收购过程中的一些实际进展情况做了详细说明。截至2015年12月31日，红旗连锁已完成222家互惠超市门店的交割；此外，原互惠配送中心、生态农庄资产已经完成交割。</w:t>
      </w:r>
    </w:p>
    <w:p>
      <w:r>
        <w:t xml:space="preserve">2016年3月8日，红旗连锁再度召开新闻发布会正式对外宣布，依据双方签署的《股权转让协议》，红旗连锁基本完成对互惠超市的收购工作。由于互惠交付的资产、门店质量等原因，经双方协商，红旗连锁将减少支付价款3023万元。</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天沃科技拟购红旗船厂45股权"/>
      <w:bookmarkEnd w:id="59"/>
      <w:r>
        <w:t xml:space="preserve">天沃科技拟购红旗船厂45%股权</w:t>
      </w:r>
    </w:p>
    <w:p>
      <w:r>
        <w:t xml:space="preserve">天沃科技3月6日晚间发布公告，拟收购无锡红旗船厂有限公司45%股权，挂牌价格为人民币3486.47万元。本次收购股权成功后，将成为红旗船厂控股股东。</w:t>
      </w:r>
    </w:p>
    <w:p>
      <w:r>
        <w:t xml:space="preserve">资料显示，无锡红旗船厂为原总装备部工程兵渡河桥梁装备的专业生产基地之一，其军工产品覆盖重型舟桥、特种舟桥、舟车改装及军用油船等多种特种装备。</w:t>
      </w:r>
    </w:p>
    <w:p>
      <w:r>
        <w:t xml:space="preserve">公司表示，本次收购股权成功后，天沃科技将成功进入军工领域，提升和实现公司高端装备（军工、核电、专利专用核心设备）、新能源/可再生能源的清洁利用、新材料（高铁等轨道交通、船舶等应用领域）的三大特色业务板块。</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2">
        <w:r>
          <w:rPr>
            <w:rStyle w:val="Link"/>
          </w:rPr>
          <w:t xml:space="preserve">unsubscribe@charltonslaw.com</w:t>
        </w:r>
      </w:hyperlink>
    </w:p>
    <w:p>
      <w:r>
        <w:rPr>
          <w:b/>
        </w:rPr>
        <w:t xml:space="preserve">易周律师行 - 法讯 - 中国 - 第492期 - 2016年03月11日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03b635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0" Target="http://epaper.stcn.com/paper/zqsb/html/2016-03/07/content_794845.htm" TargetMode="External" /><Relationship Type="http://schemas.openxmlformats.org/officeDocument/2006/relationships/hyperlink" Id="rId57" Target="http://epaper.stcn.com/paper/zqsb/html/2016-03/09/content_795326.htm" TargetMode="External" /><Relationship Type="http://schemas.openxmlformats.org/officeDocument/2006/relationships/hyperlink" Id="rId21" Target="http://www.charltonslaw.com.cn/china-news-alerts-cn-issue-492/" TargetMode="External" /><Relationship Type="http://schemas.openxmlformats.org/officeDocument/2006/relationships/hyperlink" Id="rId47" Target="http://www.chinalaw.gov.cn/article/cazjgg/201603/20160300480343.shtml" TargetMode="External" /><Relationship Type="http://schemas.openxmlformats.org/officeDocument/2006/relationships/hyperlink" Id="rId44" Target="http://www.chinasafety.gov.cn/newpage/Contents/Channel_6288/2016/0308/265639/content_265639.htm" TargetMode="External" /><Relationship Type="http://schemas.openxmlformats.org/officeDocument/2006/relationships/hyperlink" Id="rId41" Target="http://www.court.gov.cn/fabu-xiangqing-17402.html" TargetMode="External" /><Relationship Type="http://schemas.openxmlformats.org/officeDocument/2006/relationships/hyperlink" Id="rId25" Target="http://www.fjpt-l-tax.gov.cn/ar/2016030414000039.htm" TargetMode="External" /><Relationship Type="http://schemas.openxmlformats.org/officeDocument/2006/relationships/hyperlink" Id="rId50" Target="http://www.gov.cn/zhengce/content/2016-03/05/content_5049364.htm" TargetMode="External" /><Relationship Type="http://schemas.openxmlformats.org/officeDocument/2006/relationships/hyperlink" Id="rId38" Target="http://www.gov.cn/zhengce/content/2016-03/08/content_5050721.htm" TargetMode="External" /><Relationship Type="http://schemas.openxmlformats.org/officeDocument/2006/relationships/hyperlink" Id="rId29" Target="http://www.sda.gov.cn/WS01/CL0053/146520.html" TargetMode="External" /><Relationship Type="http://schemas.openxmlformats.org/officeDocument/2006/relationships/hyperlink" Id="rId53" Target="http://www.sda.gov.cn/WS01/CL0053/146741.html" TargetMode="External" /><Relationship Type="http://schemas.openxmlformats.org/officeDocument/2006/relationships/hyperlink" Id="rId32" Target="http://www.sdpc.gov.cn/gzdt/201603/t20160308_792292.html" TargetMode="External" /><Relationship Type="http://schemas.openxmlformats.org/officeDocument/2006/relationships/hyperlink" Id="rId35" Target="http://www.sdpc.gov.cn/gzdt/201603/t20160309_792299.html" TargetMode="External" /><Relationship Type="http://schemas.openxmlformats.org/officeDocument/2006/relationships/hyperlink" Id="rId6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0" Target="http://epaper.stcn.com/paper/zqsb/html/2016-03/07/content_794845.htm" TargetMode="External" /><Relationship Type="http://schemas.openxmlformats.org/officeDocument/2006/relationships/hyperlink" Id="rId57" Target="http://epaper.stcn.com/paper/zqsb/html/2016-03/09/content_795326.htm" TargetMode="External" /><Relationship Type="http://schemas.openxmlformats.org/officeDocument/2006/relationships/hyperlink" Id="rId21" Target="http://www.charltonslaw.com.cn/china-news-alerts-cn-issue-492/" TargetMode="External" /><Relationship Type="http://schemas.openxmlformats.org/officeDocument/2006/relationships/hyperlink" Id="rId47" Target="http://www.chinalaw.gov.cn/article/cazjgg/201603/20160300480343.shtml" TargetMode="External" /><Relationship Type="http://schemas.openxmlformats.org/officeDocument/2006/relationships/hyperlink" Id="rId44" Target="http://www.chinasafety.gov.cn/newpage/Contents/Channel_6288/2016/0308/265639/content_265639.htm" TargetMode="External" /><Relationship Type="http://schemas.openxmlformats.org/officeDocument/2006/relationships/hyperlink" Id="rId41" Target="http://www.court.gov.cn/fabu-xiangqing-17402.html" TargetMode="External" /><Relationship Type="http://schemas.openxmlformats.org/officeDocument/2006/relationships/hyperlink" Id="rId25" Target="http://www.fjpt-l-tax.gov.cn/ar/2016030414000039.htm" TargetMode="External" /><Relationship Type="http://schemas.openxmlformats.org/officeDocument/2006/relationships/hyperlink" Id="rId50" Target="http://www.gov.cn/zhengce/content/2016-03/05/content_5049364.htm" TargetMode="External" /><Relationship Type="http://schemas.openxmlformats.org/officeDocument/2006/relationships/hyperlink" Id="rId38" Target="http://www.gov.cn/zhengce/content/2016-03/08/content_5050721.htm" TargetMode="External" /><Relationship Type="http://schemas.openxmlformats.org/officeDocument/2006/relationships/hyperlink" Id="rId29" Target="http://www.sda.gov.cn/WS01/CL0053/146520.html" TargetMode="External" /><Relationship Type="http://schemas.openxmlformats.org/officeDocument/2006/relationships/hyperlink" Id="rId53" Target="http://www.sda.gov.cn/WS01/CL0053/146741.html" TargetMode="External" /><Relationship Type="http://schemas.openxmlformats.org/officeDocument/2006/relationships/hyperlink" Id="rId32" Target="http://www.sdpc.gov.cn/gzdt/201603/t20160308_792292.html" TargetMode="External" /><Relationship Type="http://schemas.openxmlformats.org/officeDocument/2006/relationships/hyperlink" Id="rId35" Target="http://www.sdpc.gov.cn/gzdt/201603/t20160309_792299.html" TargetMode="External" /><Relationship Type="http://schemas.openxmlformats.org/officeDocument/2006/relationships/hyperlink" Id="rId6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第492期 - 2016年03月11日</dc:title>
  <dc:creator/>
</cp:coreProperties>
</file>