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第493期</w:t>
      </w:r>
      <w:r>
        <w:t xml:space="preserve"> </w:t>
      </w:r>
      <w:r>
        <w:t xml:space="preserve">-</w:t>
      </w:r>
      <w:r>
        <w:t xml:space="preserve"> </w:t>
      </w:r>
      <w:r>
        <w:t xml:space="preserve">2016年03月18日</w:t>
      </w:r>
    </w:p>
    <w:p>
      <w:hyperlink r:id="rId21">
        <w:r>
          <w:rPr>
            <w:rStyle w:val="Link"/>
          </w:rPr>
          <w:t xml:space="preserve">网络版</w:t>
        </w:r>
      </w:hyperlink>
    </w:p>
    <w:p>
      <w:pPr>
        <w:pStyle w:val="Heading1"/>
      </w:pPr>
      <w:bookmarkStart w:id="22" w:name="中国法讯第493期"/>
      <w:bookmarkEnd w:id="22"/>
      <w:r>
        <w:t xml:space="preserve">中国法讯第493期</w:t>
      </w:r>
    </w:p>
    <w:p>
      <w:pPr>
        <w:pStyle w:val="Heading2"/>
      </w:pPr>
      <w:bookmarkStart w:id="23" w:name="资本市场"/>
      <w:bookmarkEnd w:id="23"/>
      <w:r>
        <w:t xml:space="preserve">资本市场</w:t>
      </w:r>
    </w:p>
    <w:p>
      <w:pPr>
        <w:pStyle w:val="Heading3"/>
      </w:pPr>
      <w:bookmarkStart w:id="24" w:name="银行执行外汇管理规定情况考核内容及评分标准印发"/>
      <w:bookmarkEnd w:id="24"/>
      <w:r>
        <w:t xml:space="preserve">银行执行外汇管理规定情况考核内容及评分标准印发</w:t>
      </w:r>
    </w:p>
    <w:p>
      <w:r>
        <w:t xml:space="preserve">根据2015年6月至今的外汇管理规定变化和调整情况，近日，国家外汇管理局综合司发布《银行执行外汇管理规定情况考核内容及评分标准（2016年）》。</w:t>
      </w:r>
    </w:p>
    <w:p>
      <w:r>
        <w:t xml:space="preserve">《评分标准》引入跨境资金流动双向调节考核机制，跨境资金流动区分流入、流出和基本平衡三种情境，由外汇局在考核期末判定属于何种情境。</w:t>
      </w:r>
    </w:p>
    <w:p>
      <w:r>
        <w:t xml:space="preserve">此外，《考核内容》完善考核项目，对原有考核指标进行全面梳理与调整，进一步细化考核标准与评分办法；优化考核流程，充分考虑银行间业务种类与规模差异对考核结果造成的影响；突出银行内控管理考核，分别对银行总行与分行提出外汇业务内控考核具体要求；健全违规问题落实整改机制，建立银行反馈整改报告制度，督促银行及时落实违规问题整改措施、反馈整改结果，加强后续跟踪，切实提高考核有效性。</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交所发布绿色公司债规则"/>
      <w:bookmarkEnd w:id="27"/>
      <w:r>
        <w:t xml:space="preserve">上交所发布绿色公司债规则</w:t>
      </w:r>
    </w:p>
    <w:p>
      <w:r>
        <w:t xml:space="preserve">3月16日，上交所正式发布《关于开展绿色公司债券试点的通知》，积极引导交易所债券市场支持绿色产业，助力绿色发展。</w:t>
      </w:r>
    </w:p>
    <w:p>
      <w:r>
        <w:t xml:space="preserve">上交所绿色公司债券试点在现行公司债券规则框架内推进。《通知》融入了国际绿色债券准则的重要原则，并充分采纳国内外绿色金融领域专家的意见，对绿色公司债券募集资金使用和信息披露提出针对性的要求，同时鼓励由第三方专业机构进行绿色鉴证，确保债券募集资金投向绿色产业。上交所将对绿色公司债券进行统一标识，以鼓励符合条件的各类机构投资者投资；同时鼓励政府相关部门和地方政府出台更多优惠政策，共同发展绿色债券市场。</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两部门继续实行农村饮水安全工程建设运营税收优惠"/>
      <w:bookmarkEnd w:id="31"/>
      <w:r>
        <w:t xml:space="preserve">两部门：继续实行农村饮水安全工程建设运营税收优惠</w:t>
      </w:r>
    </w:p>
    <w:p>
      <w:r>
        <w:t xml:space="preserve">日前，财政部、国税总局发布《关于继续实行农村饮水安全工程建设运营税收优惠政策的通知》（下称《通知》），除涉及企业所得税内容外，相关政策自2016年1月1日至2018年12月31日执行。</w:t>
      </w:r>
    </w:p>
    <w:p>
      <w:r>
        <w:t xml:space="preserve">《通知》规定：1、对饮水工程运营管理单位为建设饮水工程而承受土地使用权，免征契税。2、对为建设饮水工程取得土地使用权而签订的产权转移书据，以及与施工单位签订的建设工程承包合同免征印花税。3、对自用的生产、办公用房产、土地，免征房产税、城镇土地使用税。4、对向农村居民提供生活用水取得的自来水销售收入，免征增值税。另外，《通知》还对从事《公共基础设施项目企业所得税优惠目录》规定的饮水工程新建项目投资经营所得，减免企业所得税。</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三部门调整重大技术装备进口税收政策受理程序等事项"/>
      <w:bookmarkEnd w:id="34"/>
      <w:r>
        <w:t xml:space="preserve">三部门调整重大技术装备进口税收政策受理程序等事项</w:t>
      </w:r>
    </w:p>
    <w:p>
      <w:r>
        <w:t xml:space="preserve">为落实好重大技术装备进口税收政策，近日，工信部、财政部、海关总署联合发布《关于调整重大技术装备进口税收政策受理程序等事项的通知》（《通知》）。</w:t>
      </w:r>
    </w:p>
    <w:p>
      <w:r>
        <w:t xml:space="preserve">《通知》明确，各省级工业和信息化主管部门应至少提前一个月以适当方式通知当地相关装备制造企业，明确申报要求和受理部门及联系人。各省级工业和信息化主管部门应于每年11月1日至11月30日收集当地申请享受政策企业提交的免税资格认定申请文件，并于12月5日前形成报送文件，连同当地企业申报文件一并报送工业和信息化部。</w:t>
      </w:r>
    </w:p>
    <w:p>
      <w:r>
        <w:t xml:space="preserve">《通知》要求，已享受免税政策企业发生企业名称、公司类型、经营范围等事项变更的，应在完成变更登记手续后的一个月内，将有关变更情况及证明文件通过省级工业和信息化主管部门或央企集团报送工业和信息化部。</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内地和香港对所得避免双重征税安排第四议定书生效执行"/>
      <w:bookmarkEnd w:id="37"/>
      <w:r>
        <w:t xml:space="preserve">内地和香港对所得避免双重征税安排第四议定书生效执行</w:t>
      </w:r>
    </w:p>
    <w:p>
      <w:r>
        <w:t xml:space="preserve">日前，国税总局发布《关于〈内地和香港特别行政区关于对所得避免双重征税和防止偷漏税的安排〉第四议定书生效执行的公告》（下称《公告》）。</w:t>
      </w:r>
    </w:p>
    <w:p>
      <w:r>
        <w:t xml:space="preserve">《公告》称，《内地和香港特别行政区关于对所得避免双重征税和防止偷漏税的安排》（下称《安排》）第四议定书自2015年12月29日起生效，适用于2015年12月29日及以后取得的所得。同时，根据税总相关解读，议定书对《安排》共做了五项修改，其中，议定书第三条修改了《安排》第十三条（财产收益），内容为对一方居民转让在被认可的证券交易所上市的另一方居民公司股票取得的收益进行了征税权划分。</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交通部修改公路水运工程安全生产监督管理办法"/>
      <w:bookmarkEnd w:id="41"/>
      <w:r>
        <w:t xml:space="preserve">交通部修改公路水运工程安全生产监督管理办法</w:t>
      </w:r>
    </w:p>
    <w:p>
      <w:r>
        <w:t xml:space="preserve">日前，交通运输部下发《关于修改〈公路水运工程安全生产监督管理办法〉的决定》（下称《决定》），自2016年3月7日起施行。</w:t>
      </w:r>
    </w:p>
    <w:p>
      <w:r>
        <w:t xml:space="preserve">《决定》对原办法作出如下修改：一、将第九条修改为：“省级交通运输主管部门负责组织公路水运工程施工单位安全生产三类人员的考核发证工作。”二、将第十条中的“考核合格的，由交通部或省级交通主管部门颁发《安全生产考核合格证书》”修改为“考核合格的，由省级交通运输主管部门颁发《安全生产考核合格证书》”。三、将条文中所有“交通部”统一修改为“交通运输部”，所有“交通主管部门”统一修改为“交通运输主管部门”。</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工信部印发汽车生产企业及产品准入管理事项"/>
      <w:bookmarkEnd w:id="44"/>
      <w:r>
        <w:t xml:space="preserve">工信部印发汽车生产企业及产品准入管理事项</w:t>
      </w:r>
    </w:p>
    <w:p>
      <w:r>
        <w:t xml:space="preserve">为进一步完善汽车生产企业及产品准入管理体系，近日，工业和信息化部印发《关于进一步加强汽车生产企业及产品准入管理有关事项的通知》（《通知》）。</w:t>
      </w:r>
    </w:p>
    <w:p>
      <w:r>
        <w:t xml:space="preserve">《通知》要求，自2016年4月1日起，新建企业和申请变更企业在提交申请材料时，应在企业基本信息中设立专门章节，描述企业诚信体系建设及运行情况，并附《汽车生产企业诚信自律承诺书》。</w:t>
      </w:r>
    </w:p>
    <w:p>
      <w:r>
        <w:t xml:space="preserve">《通知》明确，根据国务院关于深化行政审批制度改革、加快建立企业信用信息系统的要求，工业和信息化部将建立汽车生产企业信用数据库和违法违规企业黑名单库。对于生产一致性不符合要求、不按规定传送合格证信息、虚假开具合格证、倒卖合格证等违法违规失信企业，将列入黑名单，依法进行处罚，并向社会公示。</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国办印发指导意见-促进医药产业健康发展"/>
      <w:bookmarkEnd w:id="47"/>
      <w:r>
        <w:t xml:space="preserve">国办印发指导意见 促进医药产业健康发展</w:t>
      </w:r>
    </w:p>
    <w:p>
      <w:r>
        <w:t xml:space="preserve">国务院办公厅日前印发《关于促进医药产业健康发展的指导意见》（《意见》），对提升我国医药产业核心竞争力、促进医药产业持续健康发展作出了部署。</w:t>
      </w:r>
    </w:p>
    <w:p>
      <w:r>
        <w:t xml:space="preserve">《意见》明确了7个方面的重点任务。一是加强技术创新，提高核心竞争能力。二是加快质量升级，促进绿色安全发展。三是优化产业结构，提升集约发展水平。四是发展现代物流，构建医药诚信体系。五是紧密衔接医改，营造良好市场环境。六是深化对外合作，拓展国际发展空间。七是培育新兴业态，推动产业智能发展。</w:t>
      </w:r>
    </w:p>
    <w:p>
      <w:r>
        <w:t xml:space="preserve">《意见》要求，要强化财政金融支持，健全政府采购机制，深化审评审批改革，加强产业协调监管，支持创新产品推广，加快人才队伍建设。国家发展改革委要加强统筹协调，明确各项政策措施落实的具体时间表，会同有关部门加强政策指导和督促检查，推动医药产业持续健康发展。</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其他"/>
      <w:bookmarkEnd w:id="50"/>
      <w:r>
        <w:t xml:space="preserve">其他</w:t>
      </w:r>
    </w:p>
    <w:p>
      <w:pPr>
        <w:pStyle w:val="Heading3"/>
      </w:pPr>
      <w:bookmarkStart w:id="51" w:name="国务院印发深化泛珠三角区域合作的指导意见"/>
      <w:bookmarkEnd w:id="51"/>
      <w:r>
        <w:t xml:space="preserve">国务院印发深化泛珠三角区域合作的指导意见</w:t>
      </w:r>
    </w:p>
    <w:p>
      <w:r>
        <w:t xml:space="preserve">国务院日前印发《关于深化泛珠三角区域合作的指导意见》（《意见》），推动泛珠三角区域合作向更高层次、更深领域、更广范围发展。泛珠三角区域包括福建、江西、湖南、广东、广西、海南、四川、贵州、云南等九省区和香港、澳门特别行政区。</w:t>
      </w:r>
    </w:p>
    <w:p>
      <w:r>
        <w:t xml:space="preserve">《意见》提出了深化泛珠三角区域合作的保障措施：一是国务院有关部门要切实加强对泛珠三角区域合作的指导和服务，内地九省区人民政府要加强组织领导，完善工作机制，落实工作责任，会同港澳共同编制合作发展规划。二是创新完善合作机制，充分发挥行政首长联席会议制度作用，扩大泛珠三角区域合作与发展论坛的影响力。三是建立合作资金保障机制，支持设立泛珠三角区域合作发展基金，推广运用政府和社会资本（PPP）合作模式，支持开发性金融机构在合作中发挥积极作用。</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最高检出台依法保障和促进非公经济健康发展意见"/>
      <w:bookmarkEnd w:id="54"/>
      <w:r>
        <w:t xml:space="preserve">最高检出台依法保障和促进非公经济健康发展意见</w:t>
      </w:r>
    </w:p>
    <w:p>
      <w:r>
        <w:t xml:space="preserve">近日，最高人民检察院出台《关于充分发挥检察职能依法保障和促进非公有制经济健康发展的意见》（《意见》），共6个部分18条内容。</w:t>
      </w:r>
    </w:p>
    <w:p>
      <w:r>
        <w:t xml:space="preserve">《意见》明确，要加强对非公有制经济的司法保护。在对公有制经济和非公有制经济平等保护上，要坚持诉讼地位和诉讼权利平等、法律适用和法律责任平等、法律保护和法律服务平等，主动适应非公有制经济发展的司法需求，依法保护非公有制企业产权和合法权益，依法保护企业家和从业人员创新创业的积极性。</w:t>
      </w:r>
    </w:p>
    <w:p>
      <w:r>
        <w:t xml:space="preserve">《意见》还强调，要依法打击侵犯非公有制企业合法权益的职务犯罪，推动构建新型政商关系。强化对涉及非公有制企业和非公有制经济人士诉讼活动的法律监督，维护非公有制企业合法权益和司法公正。</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并购"/>
      <w:bookmarkEnd w:id="57"/>
      <w:r>
        <w:t xml:space="preserve">并购</w:t>
      </w:r>
    </w:p>
    <w:p>
      <w:pPr>
        <w:pStyle w:val="Heading3"/>
      </w:pPr>
      <w:bookmarkStart w:id="58" w:name="德尔未来逾3亿收购百得胜家居52股权"/>
      <w:bookmarkEnd w:id="58"/>
      <w:r>
        <w:t xml:space="preserve">德尔未来逾3亿收购百得胜家居52%股权</w:t>
      </w:r>
    </w:p>
    <w:p>
      <w:r>
        <w:t xml:space="preserve">德尔未来3月18日公告，公司拟以现金3.14亿元受让苏州百得胜智能家居有限公司52%股权。公司已持有百得胜48%股权，本次股权收购完成后，公司将持有百得胜100%股权。公司表示，本次收购是实施家居产业战略转型升级，整合家居产业资源，对公司打造家居生态产业链具有积极意义。</w:t>
      </w:r>
    </w:p>
    <w:p>
      <w:r>
        <w:t xml:space="preserve">百得胜主要产品以定制环保衣柜及配套家具为主，主营产品主要应用于家庭居室空间收纳、物品摆放陈列等。此次的交易对方承诺，百得胜2016年度、2017年度、2018年度实现的净利润，分别不低于4250万元、5550万元、7250万元。</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1">
        <w:r>
          <w:rPr>
            <w:rStyle w:val="Link"/>
          </w:rPr>
          <w:t xml:space="preserve">unsubscribe@charltonslaw.com</w:t>
        </w:r>
      </w:hyperlink>
    </w:p>
    <w:p>
      <w:r>
        <w:rPr>
          <w:b/>
        </w:rPr>
        <w:t xml:space="preserve">易周律师行 - 法讯 - 中国 - 第493期 - 2016年03月18日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7fb24f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epaper/index/content_798551.htm" TargetMode="External" /><Relationship Type="http://schemas.openxmlformats.org/officeDocument/2006/relationships/hyperlink" Id="rId59" Target="http://epaper.stcn.com/paper/zqsb/html/epaper/index/content_799025.htm" TargetMode="External" /><Relationship Type="http://schemas.openxmlformats.org/officeDocument/2006/relationships/hyperlink" Id="rId21" Target="http://www.charltonslaw.com.cn/china-news-alerts-cn-issue-493/" TargetMode="External" /><Relationship Type="http://schemas.openxmlformats.org/officeDocument/2006/relationships/hyperlink" Id="rId38" Target="http://www.chinatax.gov.cn/n810341/n810755/c2037765/content.html" TargetMode="External" /><Relationship Type="http://schemas.openxmlformats.org/officeDocument/2006/relationships/hyperlink" Id="rId48" Target="http://www.gov.cn/zhengce/content/2016-03/11/content_5052267.htm" TargetMode="External" /><Relationship Type="http://schemas.openxmlformats.org/officeDocument/2006/relationships/hyperlink" Id="rId52" Target="http://www.gov.cn/zhengce/content/2016-03/15/content_5053647.htm" TargetMode="External" /><Relationship Type="http://schemas.openxmlformats.org/officeDocument/2006/relationships/hyperlink" Id="rId35" Target="http://www.miit.gov.cn/n1146295/n1652858/n1652930/n3757018/c4662368/content.html" TargetMode="External" /><Relationship Type="http://schemas.openxmlformats.org/officeDocument/2006/relationships/hyperlink" Id="rId45" Target="http://www.miit.gov.cn/n1146295/n1652858/n1652930/n3757018/c4662773/content.html" TargetMode="External" /><Relationship Type="http://schemas.openxmlformats.org/officeDocument/2006/relationships/hyperlink" Id="rId32" Target="http://www.mof.gov.cn/mofhome/shuizhengsi/zhengwuxinxi/zhengcefabu/201603/t20160314_1907574.html" TargetMode="External" /><Relationship Type="http://schemas.openxmlformats.org/officeDocument/2006/relationships/hyperlink" Id="rId25" Target="http://www.safe.gov.cn/resources/wcmpages//wps/wcm/connect/safe_web_store/safe_web/zcfg/zhfg/qt/node_zcfg_qt_store/0d0039004bfa3d899295f6196274af30/" TargetMode="External" /><Relationship Type="http://schemas.openxmlformats.org/officeDocument/2006/relationships/hyperlink" Id="rId55" Target="http://www.spp.gov.cn/xwfbh/wsfbh/201603/t20160312_114220.shtml" TargetMode="External" /><Relationship Type="http://schemas.openxmlformats.org/officeDocument/2006/relationships/hyperlink" Id="rId42" Target="http://zizhan.mot.gov.cn/zfxxgk/bnssj/zcfgs/201603/t20160316_2000696.html" TargetMode="External" /><Relationship Type="http://schemas.openxmlformats.org/officeDocument/2006/relationships/hyperlink" Id="rId6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60" Target="11.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epaper/index/content_798551.htm" TargetMode="External" /><Relationship Type="http://schemas.openxmlformats.org/officeDocument/2006/relationships/hyperlink" Id="rId59" Target="http://epaper.stcn.com/paper/zqsb/html/epaper/index/content_799025.htm" TargetMode="External" /><Relationship Type="http://schemas.openxmlformats.org/officeDocument/2006/relationships/hyperlink" Id="rId21" Target="http://www.charltonslaw.com.cn/china-news-alerts-cn-issue-493/" TargetMode="External" /><Relationship Type="http://schemas.openxmlformats.org/officeDocument/2006/relationships/hyperlink" Id="rId38" Target="http://www.chinatax.gov.cn/n810341/n810755/c2037765/content.html" TargetMode="External" /><Relationship Type="http://schemas.openxmlformats.org/officeDocument/2006/relationships/hyperlink" Id="rId48" Target="http://www.gov.cn/zhengce/content/2016-03/11/content_5052267.htm" TargetMode="External" /><Relationship Type="http://schemas.openxmlformats.org/officeDocument/2006/relationships/hyperlink" Id="rId52" Target="http://www.gov.cn/zhengce/content/2016-03/15/content_5053647.htm" TargetMode="External" /><Relationship Type="http://schemas.openxmlformats.org/officeDocument/2006/relationships/hyperlink" Id="rId35" Target="http://www.miit.gov.cn/n1146295/n1652858/n1652930/n3757018/c4662368/content.html" TargetMode="External" /><Relationship Type="http://schemas.openxmlformats.org/officeDocument/2006/relationships/hyperlink" Id="rId45" Target="http://www.miit.gov.cn/n1146295/n1652858/n1652930/n3757018/c4662773/content.html" TargetMode="External" /><Relationship Type="http://schemas.openxmlformats.org/officeDocument/2006/relationships/hyperlink" Id="rId32" Target="http://www.mof.gov.cn/mofhome/shuizhengsi/zhengwuxinxi/zhengcefabu/201603/t20160314_1907574.html" TargetMode="External" /><Relationship Type="http://schemas.openxmlformats.org/officeDocument/2006/relationships/hyperlink" Id="rId25" Target="http://www.safe.gov.cn/resources/wcmpages//wps/wcm/connect/safe_web_store/safe_web/zcfg/zhfg/qt/node_zcfg_qt_store/0d0039004bfa3d899295f6196274af30/" TargetMode="External" /><Relationship Type="http://schemas.openxmlformats.org/officeDocument/2006/relationships/hyperlink" Id="rId55" Target="http://www.spp.gov.cn/xwfbh/wsfbh/201603/t20160312_114220.shtml" TargetMode="External" /><Relationship Type="http://schemas.openxmlformats.org/officeDocument/2006/relationships/hyperlink" Id="rId42" Target="http://zizhan.mot.gov.cn/zfxxgk/bnssj/zcfgs/201603/t20160316_2000696.html" TargetMode="External" /><Relationship Type="http://schemas.openxmlformats.org/officeDocument/2006/relationships/hyperlink" Id="rId6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第493期 - 2016年03月18日</dc:title>
  <dc:creator/>
</cp:coreProperties>
</file>