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第496期</w:t>
      </w:r>
      <w:r>
        <w:t xml:space="preserve"> </w:t>
      </w:r>
      <w:r>
        <w:t xml:space="preserve">-</w:t>
      </w:r>
      <w:r>
        <w:t xml:space="preserve"> </w:t>
      </w:r>
      <w:r>
        <w:t xml:space="preserve">2016年04月08日</w:t>
      </w:r>
    </w:p>
    <w:p>
      <w:hyperlink r:id="rId21">
        <w:r>
          <w:rPr>
            <w:rStyle w:val="Link"/>
          </w:rPr>
          <w:t xml:space="preserve">网络版</w:t>
        </w:r>
      </w:hyperlink>
    </w:p>
    <w:p>
      <w:pPr>
        <w:pStyle w:val="Heading1"/>
      </w:pPr>
      <w:bookmarkStart w:id="22" w:name="中国法讯第496期"/>
      <w:bookmarkEnd w:id="22"/>
      <w:r>
        <w:t xml:space="preserve">中国法讯第496期</w:t>
      </w:r>
    </w:p>
    <w:p>
      <w:pPr>
        <w:pStyle w:val="Heading2"/>
      </w:pPr>
      <w:bookmarkStart w:id="23" w:name="资本市场"/>
      <w:bookmarkEnd w:id="23"/>
      <w:r>
        <w:t xml:space="preserve">资本市场</w:t>
      </w:r>
    </w:p>
    <w:p>
      <w:pPr>
        <w:pStyle w:val="Heading3"/>
      </w:pPr>
      <w:bookmarkStart w:id="24" w:name="银监会发文加强银行业金融机构境外运营风险管理"/>
      <w:bookmarkEnd w:id="24"/>
      <w:r>
        <w:t xml:space="preserve">银监会发文加强银行业金融机构境外运营风险管理</w:t>
      </w:r>
    </w:p>
    <w:p>
      <w:r>
        <w:t xml:space="preserve">为促进银行业金融机构境外业务健康发展，防范境外业务风险，更好地服务实体经济，银监会发布《中国银监会关于进一步加强银行业金融机构境外运营风险管理的通知》（《通知》）。</w:t>
      </w:r>
    </w:p>
    <w:p>
      <w:r>
        <w:t xml:space="preserve">《通知》指出，银行业金融机构应加强对境外业务经营发展环境和风险形势的分析评估，充分认识境外业务的复杂性和特殊性，加强对业务所在国家或地区政治经济形势、金融市场走势和金融监管环境的跟踪研究。对已形成的损失或潜在的风险隐患，应及时识别发现，果断采取风险缓释和控制处置措施。</w:t>
      </w:r>
    </w:p>
    <w:p>
      <w:r>
        <w:t xml:space="preserve">《通知》还指出，银行业金融机构应根据自身业务特点、规模和复杂程度，结合总体业务发展战略、管理能力和能够承担的风险水平，审慎开展自营性境外投资类业务，充分考虑投资对象和项目风险、所在国家或地区的经济金融形势变化和市场波动带来的潜在风险。</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2"/>
      </w:pPr>
      <w:bookmarkStart w:id="27" w:name="税收"/>
      <w:bookmarkEnd w:id="27"/>
      <w:r>
        <w:t xml:space="preserve">税收</w:t>
      </w:r>
    </w:p>
    <w:p>
      <w:pPr>
        <w:pStyle w:val="Heading3"/>
      </w:pPr>
      <w:bookmarkStart w:id="28" w:name="国税总局公布营改增相关系列暂行办法"/>
      <w:bookmarkEnd w:id="28"/>
      <w:r>
        <w:t xml:space="preserve">国税总局公布营改增相关系列暂行办法</w:t>
      </w:r>
    </w:p>
    <w:p>
      <w:r>
        <w:t xml:space="preserve">近日，国税总局制发《纳税人转让不动产增值税征收管理暂行办法》、《不动产进项税额分期抵扣暂行办法》、《纳税人提供不动产经营租赁服务增值税征收管理暂行办法》、《纳税人跨县（市、区）提供建筑服务增值税征收管理暂行办法》以及《房地产开发企业销售自行开发的房地产项目增值税征收管理暂行办法》（下称《办法》），均自2016年5月1日施行。</w:t>
      </w:r>
    </w:p>
    <w:p>
      <w:r>
        <w:t xml:space="preserve">《办法》明确了一般纳税人和小规模纳税人征收管理问题。房地产开发企业中的一般纳税人销售自行开发的房地产项目，适用一般计税方法计税，按取得的全部价款和价外费用，扣除当期销售房地产项目对应的土地价款后的余额计算销售额。其中，销售额=（全部价款和价外费用-当期允许扣除的土地价款）÷（1+11%）。</w:t>
      </w:r>
    </w:p>
    <w:p>
      <w:hyperlink r:id="rId29">
        <w:r>
          <w:rPr>
            <w:rStyle w:val="Link"/>
          </w:rPr>
          <w:t xml:space="preserve">来源</w:t>
        </w:r>
      </w:hyperlink>
      <w:r>
        <w:t xml:space="preserve"> </w:t>
      </w:r>
      <w:r>
        <w:t xml:space="preserve">(</w:t>
      </w:r>
      <w:hyperlink r:id="rId30">
        <w:r>
          <w:rPr>
            <w:rStyle w:val="Link"/>
          </w:rPr>
          <w:t xml:space="preserve">副本</w:t>
        </w:r>
      </w:hyperlink>
      <w:r>
        <w:t xml:space="preserve">)</w:t>
      </w:r>
    </w:p>
    <w:p>
      <w:pPr>
        <w:pStyle w:val="Heading3"/>
      </w:pPr>
      <w:bookmarkStart w:id="31" w:name="税总明确营改增试点后增值税纳税申报事项"/>
      <w:bookmarkEnd w:id="31"/>
      <w:r>
        <w:t xml:space="preserve">税总明确营改增试点后增值税纳税申报事项</w:t>
      </w:r>
    </w:p>
    <w:p>
      <w:r>
        <w:t xml:space="preserve">近日，国税总局下发《关于全面推开营业税改征增值税试点后增值税纳税申报有关事项的公告》（下称《公告》），自2016年6月1日施行。</w:t>
      </w:r>
    </w:p>
    <w:p>
      <w:r>
        <w:t xml:space="preserve">《公告》明确，中国境内增值税纳税人均应按本公告规定进行增值税纳税申报。根据《公告》，纳税申报资料包括纳税申报表及其附列资料和其他资料。其中，增值税一般纳税人纳税申报表及其附列资料包括“《增值税纳税申报表（一般纳税人适用）》”等9项内容；增值税小规模纳税人纳税申报表及其附列资料包括“《增值税纳税申报表（小规模纳税人适用）》”等3项内容。纳税申报其他资料包含“已开具的税控机动车销售统一发票和普通发票的存根联”等7项内容。</w:t>
      </w:r>
    </w:p>
    <w:p>
      <w:hyperlink r:id="rId32">
        <w:r>
          <w:rPr>
            <w:rStyle w:val="Link"/>
          </w:rPr>
          <w:t xml:space="preserve">来源</w:t>
        </w:r>
      </w:hyperlink>
      <w:r>
        <w:t xml:space="preserve"> </w:t>
      </w:r>
      <w:r>
        <w:t xml:space="preserve">(</w:t>
      </w:r>
      <w:hyperlink r:id="rId33">
        <w:r>
          <w:rPr>
            <w:rStyle w:val="Link"/>
          </w:rPr>
          <w:t xml:space="preserve">副本</w:t>
        </w:r>
      </w:hyperlink>
      <w:r>
        <w:t xml:space="preserve">)</w:t>
      </w:r>
    </w:p>
    <w:p>
      <w:pPr>
        <w:pStyle w:val="Heading3"/>
      </w:pPr>
      <w:bookmarkStart w:id="34" w:name="三部门发文调整进口天然气税收优惠政策"/>
      <w:bookmarkEnd w:id="34"/>
      <w:r>
        <w:t xml:space="preserve">三部门发文调整进口天然气税收优惠政策</w:t>
      </w:r>
    </w:p>
    <w:p>
      <w:r>
        <w:t xml:space="preserve">近日，财政部等三部门发布《关于调整进口天然气税收优惠政策有关问题的通知》（下称《通知》）。</w:t>
      </w:r>
    </w:p>
    <w:p>
      <w:r>
        <w:t xml:space="preserve">《通知》对《财政部 海关总署 国家税务总局关于对2011-2020年期间进口天然气及2010年底前“中亚气”项目进口天然气按比例返还进口环节增值税有关问题的通知》和《财政部 海关总署 国家税务总局关于调整进口天然气税收优惠政策有关问题的通知》有关事项进行了调整，规定如下：1、自2016年1月1日起，将液化天然气销售定价调整为28.34元/GJ，将管道天然气销售定价调整为1.00元/立方米。2、2015年10-12月期间，液化天然气销售定价适用33.58元/GJ，管道天然气销售定价适用1.19元/立方米。</w:t>
      </w:r>
    </w:p>
    <w:p>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3"/>
      </w:pPr>
      <w:bookmarkStart w:id="37" w:name="财政部明确部分国家储备商品税收政策"/>
      <w:bookmarkEnd w:id="37"/>
      <w:r>
        <w:t xml:space="preserve">财政部明确部分国家储备商品税收政策</w:t>
      </w:r>
    </w:p>
    <w:p>
      <w:r>
        <w:t xml:space="preserve">日前，财政部、国税总局联合下发《关于部分国家储备商品有关税收政策的通知》（下称《通知》），执行时间为2016年1月1日至2018年12月31日。</w:t>
      </w:r>
    </w:p>
    <w:p>
      <w:r>
        <w:t xml:space="preserve">《通知》规定：一、对商品储备管理公司及其直属库资金账簿免征印花税；对其承担商品储备业务过程中书立的购销合同免征印花税，对合同其他各方当事人应缴纳的印花税照章征收。二、对商品储备管理公司及其直属库承担商品储备业务自用的房产、土地，免征房产税、城镇土地使用税。《通知》还提示，符合免税条件的企业，应按税收减免管理规定，持相关材料向主管税务机关办理减免税备案手续。</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2"/>
      </w:pPr>
      <w:bookmarkStart w:id="40" w:name="保险"/>
      <w:bookmarkEnd w:id="40"/>
      <w:r>
        <w:t xml:space="preserve">保险</w:t>
      </w:r>
    </w:p>
    <w:p>
      <w:pPr>
        <w:pStyle w:val="Heading3"/>
      </w:pPr>
      <w:bookmarkStart w:id="41" w:name="银行保险业务数据交换行业标准发布"/>
      <w:bookmarkEnd w:id="41"/>
      <w:r>
        <w:t xml:space="preserve">银行保险业务数据交换行业标准发布</w:t>
      </w:r>
    </w:p>
    <w:p>
      <w:r>
        <w:t xml:space="preserve">近日，中国保监会、中国人民银行联合印发了关于《银行保险业务人寿保险数据交换规范》行业标准和《银行保险业务财产保险数据交换规范》行业标准发布的通知，不断改进金融会计和统计工作，加强跨行业标准的研制和发布实施，适应银行、保险业务融合发展需要。</w:t>
      </w:r>
    </w:p>
    <w:p>
      <w:r>
        <w:t xml:space="preserve">根据通知，全国金融标准化技术委员会保险分技术委员会制定了《银行保险业务人寿保险数据交换规范》（JR/T 0031-2016）行业标准和《银行保险业务财产保险数据交换规范》（JR/T 0037-2016）行业标准，按照《全国金融标准化技术委员会章程》和《全国金融标准化技术委员会保险分技术委员会章程》，予以发布。</w:t>
      </w:r>
    </w:p>
    <w:p>
      <w:hyperlink r:id="rId42">
        <w:r>
          <w:rPr>
            <w:rStyle w:val="Link"/>
          </w:rPr>
          <w:t xml:space="preserve">来源</w:t>
        </w:r>
      </w:hyperlink>
      <w:r>
        <w:t xml:space="preserve"> </w:t>
      </w:r>
      <w:r>
        <w:t xml:space="preserve">(</w:t>
      </w:r>
      <w:hyperlink r:id="rId43">
        <w:r>
          <w:rPr>
            <w:rStyle w:val="Link"/>
          </w:rPr>
          <w:t xml:space="preserve">副本</w:t>
        </w:r>
      </w:hyperlink>
      <w:r>
        <w:t xml:space="preserve">)</w:t>
      </w:r>
    </w:p>
    <w:p>
      <w:pPr>
        <w:pStyle w:val="Heading2"/>
      </w:pPr>
      <w:bookmarkStart w:id="44" w:name="行业"/>
      <w:bookmarkEnd w:id="44"/>
      <w:r>
        <w:t xml:space="preserve">行业</w:t>
      </w:r>
    </w:p>
    <w:p>
      <w:pPr>
        <w:pStyle w:val="Heading3"/>
      </w:pPr>
      <w:bookmarkStart w:id="45" w:name="安监总局加强停产停建非煤矿山安全监管工作"/>
      <w:bookmarkEnd w:id="45"/>
      <w:r>
        <w:t xml:space="preserve">安监总局：加强停产停建非煤矿山安全监管工作</w:t>
      </w:r>
    </w:p>
    <w:p>
      <w:r>
        <w:t xml:space="preserve">近日，安监总局办公厅发布《关于加强停产停建非煤矿山安全监管工作的通知》（下称《通知》）。</w:t>
      </w:r>
    </w:p>
    <w:p>
      <w:r>
        <w:t xml:space="preserve">《通知》明确了“进一步规范停产停建矿山工作程序”、“加强停产停建矿山安全监管”、“做好复产复工检查验收工作”、“探索创新停产停建矿山淘汰退出新思路”四项工作。其中，根据《通知》，对于需停产停建6个月以上的非煤矿山，必须由企业向相应部门提出书面报告，说明停产停建原因、期限和停产停建期间拟采取的安全技术和管理措施等事项。《通知》规定，停产停建期间，矿山安全生产许可证有效期满后申请延期的，必须依法严格履行相关手续，不得直接延期或简化程序。此外，《通知》要求，对长期停产停建、复工复产无望和扭亏无望的矿山，要引导企业主动关闭退出等。</w:t>
      </w:r>
    </w:p>
    <w:p>
      <w:hyperlink r:id="rId46">
        <w:r>
          <w:rPr>
            <w:rStyle w:val="Link"/>
          </w:rPr>
          <w:t xml:space="preserve">来源</w:t>
        </w:r>
      </w:hyperlink>
      <w:r>
        <w:t xml:space="preserve"> </w:t>
      </w:r>
      <w:r>
        <w:t xml:space="preserve">(</w:t>
      </w:r>
      <w:hyperlink r:id="rId47">
        <w:r>
          <w:rPr>
            <w:rStyle w:val="Link"/>
          </w:rPr>
          <w:t xml:space="preserve">副本</w:t>
        </w:r>
      </w:hyperlink>
      <w:r>
        <w:t xml:space="preserve">)</w:t>
      </w:r>
    </w:p>
    <w:p>
      <w:pPr>
        <w:pStyle w:val="Heading3"/>
      </w:pPr>
      <w:bookmarkStart w:id="48" w:name="交通部发布民航空管运行单位安全管理规则等四规范"/>
      <w:bookmarkEnd w:id="48"/>
      <w:r>
        <w:t xml:space="preserve">交通部发布民航空管运行单位安全管理规则等四规范</w:t>
      </w:r>
    </w:p>
    <w:p>
      <w:r>
        <w:t xml:space="preserve">近日，交通部下发《民用航空空中交通管理运行单位安全管理规则》（下称《规则》）、《民用航空情报员执照管理规则》、《民用航空情报工作规则》以及《中国民用航空应急管理规定》等四部民航相关规范，均自2016年4月17日施行。</w:t>
      </w:r>
    </w:p>
    <w:p>
      <w:r>
        <w:t xml:space="preserve">在中国领域内从事民用航空空中交通服务、航空情报服务、通信导航监视服务、航空气象服务的单位和个人，应遵守《规则》。同时，《规则》明确，民航空管运行单位应据下列要求设置运行安全管理部门或配备相关人员：1、从业人员超过150人（含）的，应设置专门的安全管理部门；2、从业人员少于150人的，应按不小于50比1的比例设置专职安全管理人员；3、从业人员少于50人的，应至少有一名专职或兼职安全管理人员。</w:t>
      </w:r>
    </w:p>
    <w:p>
      <w:hyperlink r:id="rId49">
        <w:r>
          <w:rPr>
            <w:rStyle w:val="Link"/>
          </w:rPr>
          <w:t xml:space="preserve">来源</w:t>
        </w:r>
      </w:hyperlink>
      <w:r>
        <w:t xml:space="preserve"> </w:t>
      </w:r>
      <w:r>
        <w:t xml:space="preserve">(</w:t>
      </w:r>
      <w:hyperlink r:id="rId50">
        <w:r>
          <w:rPr>
            <w:rStyle w:val="Link"/>
          </w:rPr>
          <w:t xml:space="preserve">副本</w:t>
        </w:r>
      </w:hyperlink>
      <w:r>
        <w:t xml:space="preserve">)</w:t>
      </w:r>
    </w:p>
    <w:p>
      <w:pPr>
        <w:pStyle w:val="Heading3"/>
      </w:pPr>
      <w:bookmarkStart w:id="51" w:name="工信部印发制造业单项冠军企业培育提升行动方案"/>
      <w:bookmarkEnd w:id="51"/>
      <w:r>
        <w:t xml:space="preserve">工信部印发制造业单项冠军企业培育提升行动方案</w:t>
      </w:r>
    </w:p>
    <w:p>
      <w:r>
        <w:t xml:space="preserve">近日，工信部制发《制造业单项冠军企业培育提升专项行动实施方案》（下称《方案》）。</w:t>
      </w:r>
    </w:p>
    <w:p>
      <w:r>
        <w:t xml:space="preserve">《方案》提出，到2025年，总结提升200家制造业单项冠军示范企业；发现和培育600家有潜力成长为单项冠军的企业，支持企业培育成长为单项冠军企业，总结推广一批企业创新发展的成功经验和发展模式，引领和带动更多的企业走“专特优精”的单项冠军发展道路。同时，《方案》明确，企业可根据自身情况自愿申请单项冠军示范企业或单项冠军培育企业，并对申请两类企业的条件予以列明。另外，《方案》强调，国家将对两类企业申报国家有关技术改造、工业强基工程、重大专项、节能减排等资金支持的项目，以及申报国家级工业设计中心、技术创新示范企业的，予以优先支持。</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3"/>
      </w:pPr>
      <w:bookmarkStart w:id="54" w:name="年能源工作指导意见印发"/>
      <w:bookmarkEnd w:id="54"/>
      <w:r>
        <w:t xml:space="preserve">《2016年能源工作指导意见》印发</w:t>
      </w:r>
    </w:p>
    <w:p>
      <w:r>
        <w:t xml:space="preserve">为了做好2016年能源工作，进一步加快能源结构调整、推进发展动力转换，实现“十三五”能源发展起好步开好局，近日，能源局印发《2016年能源工作指导意见》（《意见》）。</w:t>
      </w:r>
    </w:p>
    <w:p>
      <w:r>
        <w:t xml:space="preserve">《意见》提出，发布实施能源发展“十三五”规划、推动出台《关于深化石油天然气体制改革的若干意见》、编制实施《京津冀能源协同发展专项规划》和《丝绸之路经济带能源发展规划》、研究修订《天然气利用政策》、启动实施“互联网+”智慧能源行动等举措。</w:t>
      </w:r>
    </w:p>
    <w:p>
      <w:r>
        <w:t xml:space="preserve">《意见》还提出，全面推进电动汽车充电设施建设，2016年，计划建设充电站2000多座、分散式公共充电桩10万个，私人专用充电桩86万个，各类充电设施总投资300亿元。</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2"/>
      </w:pPr>
      <w:bookmarkStart w:id="57" w:name="并购"/>
      <w:bookmarkEnd w:id="57"/>
      <w:r>
        <w:t xml:space="preserve">并购</w:t>
      </w:r>
    </w:p>
    <w:p>
      <w:pPr>
        <w:pStyle w:val="Heading3"/>
      </w:pPr>
      <w:bookmarkStart w:id="58" w:name="巨龙管业17亿并购两公司"/>
      <w:bookmarkEnd w:id="58"/>
      <w:r>
        <w:t xml:space="preserve">巨龙管业17亿并购两公司</w:t>
      </w:r>
    </w:p>
    <w:p>
      <w:r>
        <w:t xml:space="preserve">巨龙管业4月5日公告，公司拟以发行股份及支付现金相结合的方式，对价16.94亿元，购买杭州搜影100%股权以及北京拇指玩100%股权。同时，公司拟以22.2元/股的价格，向乐源盛世、新纪元期货等8名交易对方发行股份募集配套资金16.94亿元。</w:t>
      </w:r>
    </w:p>
    <w:p>
      <w:r>
        <w:t xml:space="preserve">杭州搜影100%股权交易对价为13.55亿元，北京拇指玩100%股权交易对价为3.385亿元。巨龙管业以现金方式支付6.94亿元，发股份对价10亿元，发行价格为22.2元/股，共计发行4504.5万股。截至2015年10月31日，杭州搜影经审计的账面净资产8279万元，评估增值率1537.55%；北京拇指玩经审计的账面净资产为2019万元，评估增值率1609.64%。</w:t>
      </w:r>
    </w:p>
    <w:p>
      <w:hyperlink r:id="rId59">
        <w:r>
          <w:rPr>
            <w:rStyle w:val="Link"/>
          </w:rPr>
          <w:t xml:space="preserve">来源</w:t>
        </w:r>
      </w:hyperlink>
      <w:r>
        <w:t xml:space="preserve"> </w:t>
      </w:r>
      <w:r>
        <w:t xml:space="preserve">(</w:t>
      </w:r>
      <w:hyperlink r:id="rId60">
        <w:r>
          <w:rPr>
            <w:rStyle w:val="Link"/>
          </w:rPr>
          <w:t xml:space="preserve">副本</w:t>
        </w:r>
      </w:hyperlink>
      <w:r>
        <w:t xml:space="preserve">)</w:t>
      </w:r>
    </w:p>
    <w:p>
      <w:pPr>
        <w:pStyle w:val="Heading2"/>
      </w:pPr>
      <w:bookmarkStart w:id="61" w:name="其他"/>
      <w:bookmarkEnd w:id="61"/>
      <w:r>
        <w:t xml:space="preserve">其他</w:t>
      </w:r>
    </w:p>
    <w:p>
      <w:pPr>
        <w:pStyle w:val="Heading3"/>
      </w:pPr>
      <w:bookmarkStart w:id="62" w:name="人社部发布执行工伤保险条例意见二"/>
      <w:bookmarkEnd w:id="62"/>
      <w:r>
        <w:t xml:space="preserve">人社部发布执行《工伤保险条例》意见（二）</w:t>
      </w:r>
    </w:p>
    <w:p>
      <w:r>
        <w:t xml:space="preserve">近日，人力资源社会保障部发布《关于执行〈工伤保险条例〉若干问题的意见（二）》（《意见》）。</w:t>
      </w:r>
    </w:p>
    <w:p>
      <w:r>
        <w:t xml:space="preserve">《意见》明确，《工伤保险条例》第六十二条规定的“新发生的费用”，是指用人单位参加工伤保险前发生工伤的职工，在参加工伤保险后新发生的费用。其中由工伤保险基金支付的费用，按不同情况予以处理：（一）因工受伤的，支付参保后新发生的工伤医疗费、工伤康复费、住院伙食补助费、统筹地区以外就医交通食宿费、辅助器具配置费、生活护理费、一级至四级伤残职工伤残津贴，以及参保后解除劳动合同时的一次性工伤医疗补助金；（二）因工死亡的，支付参保后新发生的符合条件的供养亲属抚恤金。</w:t>
      </w:r>
    </w:p>
    <w:p>
      <w:r>
        <w:t xml:space="preserve">《意见》还提出，职工以上下班为目的、在合理时间内往返于工作单位和居住地之间的合理路线，视为上下班途中。</w:t>
      </w:r>
    </w:p>
    <w:p>
      <w:hyperlink r:id="rId63">
        <w:r>
          <w:rPr>
            <w:rStyle w:val="Link"/>
          </w:rPr>
          <w:t xml:space="preserve">来源</w:t>
        </w:r>
      </w:hyperlink>
      <w:r>
        <w:t xml:space="preserve"> </w:t>
      </w:r>
      <w:r>
        <w:t xml:space="preserve">(</w:t>
      </w:r>
      <w:hyperlink r:id="rId64">
        <w:r>
          <w:rPr>
            <w:rStyle w:val="Link"/>
          </w:rPr>
          <w:t xml:space="preserve">副本</w:t>
        </w:r>
      </w:hyperlink>
      <w:r>
        <w:t xml:space="preserve">)</w:t>
      </w:r>
    </w:p>
    <w:p>
      <w:pPr>
        <w:pStyle w:val="Heading3"/>
      </w:pPr>
      <w:bookmarkStart w:id="65" w:name="国办发文完善国家级经济技术开发区考核制度"/>
      <w:bookmarkEnd w:id="65"/>
      <w:r>
        <w:t xml:space="preserve">国办发文完善国家级经济技术开发区考核制度</w:t>
      </w:r>
    </w:p>
    <w:p>
      <w:r>
        <w:t xml:space="preserve">近日，国务院办公厅发布《关于完善国家级经济技术开发区考核制度促进创新驱动发展的指导意见》（《意见》）。</w:t>
      </w:r>
    </w:p>
    <w:p>
      <w:r>
        <w:t xml:space="preserve">《意见》指出，主要任务包括提升自主创新能力，对标国际产业发展趋势，以推动产业转型升级为核心，引领新产业、新业态发展方向，提高支柱产业对区域发展的贡献率。积极实施腾笼换鸟、凤凰涅槃战略，促进传统产业就地转型升级，劳动密集型产业向欠发达地区转移。营造资本和技术密集型产业新优势，促进国家级经开区经济保持中高速增长，产业迈向中高端水平，在更高层次参与国际经济合作和竞争。</w:t>
      </w:r>
    </w:p>
    <w:p>
      <w:r>
        <w:t xml:space="preserve">《意见》着重提出了用好用足创新创业扶持政策、打造创新创业服务平台、加快人力资源集聚、加强知识产权运用和保护等措施来激发国家级经开区创新活力。推进体制机制创新是国家级经开区创新发展的重中之重。</w:t>
      </w:r>
    </w:p>
    <w:p>
      <w:hyperlink r:id="rId66">
        <w:r>
          <w:rPr>
            <w:rStyle w:val="Link"/>
          </w:rPr>
          <w:t xml:space="preserve">来源</w:t>
        </w:r>
      </w:hyperlink>
      <w:r>
        <w:t xml:space="preserve"> </w:t>
      </w:r>
      <w:r>
        <w:t xml:space="preserve">(</w:t>
      </w:r>
      <w:hyperlink r:id="rId67">
        <w:r>
          <w:rPr>
            <w:rStyle w:val="Link"/>
          </w:rPr>
          <w:t xml:space="preserve">副本</w:t>
        </w:r>
      </w:hyperlink>
      <w:r>
        <w:t xml:space="preserve">)</w:t>
      </w:r>
    </w:p>
    <w:p>
      <w:pPr>
        <w:pStyle w:val="Heading3"/>
      </w:pPr>
      <w:bookmarkStart w:id="68" w:name="国务院批转深化经济体制改革重点工作的意见"/>
      <w:bookmarkEnd w:id="68"/>
      <w:r>
        <w:t xml:space="preserve">国务院批转深化经济体制改革重点工作的意见</w:t>
      </w:r>
    </w:p>
    <w:p>
      <w:r>
        <w:t xml:space="preserve">国务院日前批转国家发展改革委《关于2016年深化经济体制改革重点工作的意见》（《意见》），提出10个领域50项年度经济体制改革重点任务。</w:t>
      </w:r>
    </w:p>
    <w:p>
      <w:r>
        <w:t xml:space="preserve">《意见》涉及大力推进国有企业改革、完善创新驱动发展体制机制、持续推进政府职能转变、加快财税体制改革、深化金融体制改革、推进新型城镇化和农业农村等体制创新、加快构建对外开放新体制、加快生态文明体制改革、深化社会事业相关改革、加快改革试点和改革督查评估等领域。</w:t>
      </w:r>
    </w:p>
    <w:p>
      <w:r>
        <w:t xml:space="preserve">《意见》提出，适时启动“深港通”。促进多层次资本市场健康发展，提高直接融资比重。研究制定房地产投资信托基金规则，积极推进试点。研究推出城乡居民住宅地震巨灾保险制度，制定环境污染责任保险制度方案。推进个人税收递延型商业养老保险试点、住房反向抵押养老保险试点，出台加快发展现代商业养老保险的若干意见。</w:t>
      </w:r>
    </w:p>
    <w:p>
      <w:hyperlink r:id="rId69">
        <w:r>
          <w:rPr>
            <w:rStyle w:val="Link"/>
          </w:rPr>
          <w:t xml:space="preserve">来源</w:t>
        </w:r>
      </w:hyperlink>
      <w:r>
        <w:t xml:space="preserve"> </w:t>
      </w:r>
      <w:r>
        <w:t xml:space="preserve">(</w:t>
      </w:r>
      <w:hyperlink r:id="rId70">
        <w:r>
          <w:rPr>
            <w:rStyle w:val="Link"/>
          </w:rPr>
          <w:t xml:space="preserve">副本</w:t>
        </w:r>
      </w:hyperlink>
      <w:r>
        <w:t xml:space="preserve">)</w:t>
      </w:r>
    </w:p>
    <w:p>
      <w:pPr>
        <w:pStyle w:val="Heading3"/>
      </w:pPr>
      <w:bookmarkStart w:id="71" w:name="最高法发布审理毒品犯罪案件司法解释"/>
      <w:bookmarkEnd w:id="71"/>
      <w:r>
        <w:t xml:space="preserve">最高法发布审理毒品犯罪案件司法解释</w:t>
      </w:r>
    </w:p>
    <w:p>
      <w:r>
        <w:t xml:space="preserve">近日，最高人民法院向社会公布《关于审理毒品犯罪案件适用法律若干问题的解释》（《解释》），自4月11日起施行，首次以司法解释的形式全面规定了各类毒品犯罪的定罪量刑标准。</w:t>
      </w:r>
    </w:p>
    <w:p>
      <w:r>
        <w:t xml:space="preserve">《解释》共15条，共涉及十类毒品犯罪的定罪量刑标准和其他实践中较为突出的毒品犯罪法律适用问题。《解释》在多个条款中均对国家工作人员实施毒品犯罪的情形，作出了从严处罚的规定。</w:t>
      </w:r>
    </w:p>
    <w:p>
      <w:r>
        <w:t xml:space="preserve">《解释》明确或者下调了部分新类型毒品的定罪量刑数量标准，系统规定了28种毒品的定罪量刑数量标准。其中，新增了甲卡西酮、曲马多、安钠咖等12种新类型毒品的定罪量刑数量标准，并下调了在我国危害较为严重的毒品氯胺酮的定罪量刑数量标准，为实践中相关犯罪的打击处理提供了明确依据，有利于依法从严惩治新类型毒品犯罪。</w:t>
      </w:r>
    </w:p>
    <w:p>
      <w:hyperlink r:id="rId72">
        <w:r>
          <w:rPr>
            <w:rStyle w:val="Link"/>
          </w:rPr>
          <w:t xml:space="preserve">来源</w:t>
        </w:r>
      </w:hyperlink>
      <w:r>
        <w:t xml:space="preserve"> </w:t>
      </w:r>
      <w:r>
        <w:t xml:space="preserve">(</w:t>
      </w:r>
      <w:hyperlink r:id="rId73">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4">
        <w:r>
          <w:rPr>
            <w:rStyle w:val="Link"/>
          </w:rPr>
          <w:t xml:space="preserve">unsubscribe@charltonslaw.com</w:t>
        </w:r>
      </w:hyperlink>
    </w:p>
    <w:p>
      <w:r>
        <w:rPr>
          <w:b/>
        </w:rPr>
        <w:t xml:space="preserve">易周律师行 - 法讯 - 中国 - 第496期 - 2016年04月08日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ba9d42a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60" Target="11.pdf" TargetMode="External" /><Relationship Type="http://schemas.openxmlformats.org/officeDocument/2006/relationships/hyperlink" Id="rId64" Target="12.pdf" TargetMode="External" /><Relationship Type="http://schemas.openxmlformats.org/officeDocument/2006/relationships/hyperlink" Id="rId67" Target="13.pdf" TargetMode="External" /><Relationship Type="http://schemas.openxmlformats.org/officeDocument/2006/relationships/hyperlink" Id="rId70" Target="14.pdf" TargetMode="External" /><Relationship Type="http://schemas.openxmlformats.org/officeDocument/2006/relationships/hyperlink" Id="rId73" Target="15.pdf" TargetMode="External" /><Relationship Type="http://schemas.openxmlformats.org/officeDocument/2006/relationships/hyperlink" Id="rId30" Target="2.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3" Target="6.pdf" TargetMode="External" /><Relationship Type="http://schemas.openxmlformats.org/officeDocument/2006/relationships/hyperlink" Id="rId47" Target="7.pdf" TargetMode="External" /><Relationship Type="http://schemas.openxmlformats.org/officeDocument/2006/relationships/hyperlink" Id="rId50" Target="8.pdf" TargetMode="External" /><Relationship Type="http://schemas.openxmlformats.org/officeDocument/2006/relationships/hyperlink" Id="rId53" Target="9.pdf" TargetMode="External" /><Relationship Type="http://schemas.openxmlformats.org/officeDocument/2006/relationships/hyperlink" Id="rId59" Target="http://epaper.stcn.com/paper/zqsb/html/2016-04/05/content_806403.htm" TargetMode="External" /><Relationship Type="http://schemas.openxmlformats.org/officeDocument/2006/relationships/hyperlink" Id="rId35" Target="http://gss.mof.gov.cn/zhengwuxinxi/zhengcefabu/201604/t20160404_1935667.html" TargetMode="External" /><Relationship Type="http://schemas.openxmlformats.org/officeDocument/2006/relationships/hyperlink" Id="rId72" Target="http://rmfyb.chinacourt.org/paper/html/2016-04/08/content_110554.htm?div=-1" TargetMode="External" /><Relationship Type="http://schemas.openxmlformats.org/officeDocument/2006/relationships/hyperlink" Id="rId38" Target="http://szs.mof.gov.cn/zhengwuxinxi/zhengcefabu/201604/t20160406_1938541.html" TargetMode="External" /><Relationship Type="http://schemas.openxmlformats.org/officeDocument/2006/relationships/hyperlink" Id="rId25" Target="http://www.cbrc.gov.cn/chinese/home/docDOC_ReadView/19166B3E084B496689523C9FDB0209B2.html" TargetMode="External" /><Relationship Type="http://schemas.openxmlformats.org/officeDocument/2006/relationships/hyperlink" Id="rId21" Target="http://www.charltonslaw.com.cn/china-news-alerts-cn-issue-496/" TargetMode="External" /><Relationship Type="http://schemas.openxmlformats.org/officeDocument/2006/relationships/hyperlink" Id="rId46" Target="http://www.chinasafety.gov.cn/newpage/Contents/Channel_6288/2016/0405/267610/content_267610.htm" TargetMode="External" /><Relationship Type="http://schemas.openxmlformats.org/officeDocument/2006/relationships/hyperlink" Id="rId42" Target="http://www.circ.gov.cn/web/site0/tab5168/info4024823.htm" TargetMode="External" /><Relationship Type="http://schemas.openxmlformats.org/officeDocument/2006/relationships/hyperlink" Id="rId69" Target="http://www.gov.cn/zhengce/content/2016-03/31/content_5060062.htm" TargetMode="External" /><Relationship Type="http://schemas.openxmlformats.org/officeDocument/2006/relationships/hyperlink" Id="rId66" Target="http://www.gov.cn/zhengce/content/2016-04/01/content_5060345.htm" TargetMode="External" /><Relationship Type="http://schemas.openxmlformats.org/officeDocument/2006/relationships/hyperlink" Id="rId32" Target="http://www.gs-l-tax.gov.cn/art/2016/4/5/art_122_2481.html" TargetMode="External" /><Relationship Type="http://schemas.openxmlformats.org/officeDocument/2006/relationships/hyperlink" Id="rId29" Target="http://www.gs-n-tax.gov.cn/xxgk/xxgkml/zcfg/ssfg/201604/t20160406_99899.html" TargetMode="External" /><Relationship Type="http://schemas.openxmlformats.org/officeDocument/2006/relationships/hyperlink" Id="rId52" Target="http://www.miit.gov.cn/n1146295/n1652858/n1652930/n3757016/c4692586/content.html" TargetMode="External" /><Relationship Type="http://schemas.openxmlformats.org/officeDocument/2006/relationships/hyperlink" Id="rId63" Target="http://www.mohrss.gov.cn/gkml/xxgk/201603/t20160331_236984.htm" TargetMode="External" /><Relationship Type="http://schemas.openxmlformats.org/officeDocument/2006/relationships/hyperlink" Id="rId55" Target="http://zfxxgk.nea.gov.cn/auto82/201604/t20160401_2219.htm" TargetMode="External" /><Relationship Type="http://schemas.openxmlformats.org/officeDocument/2006/relationships/hyperlink" Id="rId49" Target="http://zizhan.mot.gov.cn/zfxxgk/bnssj/zcfgs/201604/t20160405_2009220.html" TargetMode="External" /><Relationship Type="http://schemas.openxmlformats.org/officeDocument/2006/relationships/hyperlink" Id="rId74"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60" Target="11.pdf" TargetMode="External" /><Relationship Type="http://schemas.openxmlformats.org/officeDocument/2006/relationships/hyperlink" Id="rId64" Target="12.pdf" TargetMode="External" /><Relationship Type="http://schemas.openxmlformats.org/officeDocument/2006/relationships/hyperlink" Id="rId67" Target="13.pdf" TargetMode="External" /><Relationship Type="http://schemas.openxmlformats.org/officeDocument/2006/relationships/hyperlink" Id="rId70" Target="14.pdf" TargetMode="External" /><Relationship Type="http://schemas.openxmlformats.org/officeDocument/2006/relationships/hyperlink" Id="rId73" Target="15.pdf" TargetMode="External" /><Relationship Type="http://schemas.openxmlformats.org/officeDocument/2006/relationships/hyperlink" Id="rId30" Target="2.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3" Target="6.pdf" TargetMode="External" /><Relationship Type="http://schemas.openxmlformats.org/officeDocument/2006/relationships/hyperlink" Id="rId47" Target="7.pdf" TargetMode="External" /><Relationship Type="http://schemas.openxmlformats.org/officeDocument/2006/relationships/hyperlink" Id="rId50" Target="8.pdf" TargetMode="External" /><Relationship Type="http://schemas.openxmlformats.org/officeDocument/2006/relationships/hyperlink" Id="rId53" Target="9.pdf" TargetMode="External" /><Relationship Type="http://schemas.openxmlformats.org/officeDocument/2006/relationships/hyperlink" Id="rId59" Target="http://epaper.stcn.com/paper/zqsb/html/2016-04/05/content_806403.htm" TargetMode="External" /><Relationship Type="http://schemas.openxmlformats.org/officeDocument/2006/relationships/hyperlink" Id="rId35" Target="http://gss.mof.gov.cn/zhengwuxinxi/zhengcefabu/201604/t20160404_1935667.html" TargetMode="External" /><Relationship Type="http://schemas.openxmlformats.org/officeDocument/2006/relationships/hyperlink" Id="rId72" Target="http://rmfyb.chinacourt.org/paper/html/2016-04/08/content_110554.htm?div=-1" TargetMode="External" /><Relationship Type="http://schemas.openxmlformats.org/officeDocument/2006/relationships/hyperlink" Id="rId38" Target="http://szs.mof.gov.cn/zhengwuxinxi/zhengcefabu/201604/t20160406_1938541.html" TargetMode="External" /><Relationship Type="http://schemas.openxmlformats.org/officeDocument/2006/relationships/hyperlink" Id="rId25" Target="http://www.cbrc.gov.cn/chinese/home/docDOC_ReadView/19166B3E084B496689523C9FDB0209B2.html" TargetMode="External" /><Relationship Type="http://schemas.openxmlformats.org/officeDocument/2006/relationships/hyperlink" Id="rId21" Target="http://www.charltonslaw.com.cn/china-news-alerts-cn-issue-496/" TargetMode="External" /><Relationship Type="http://schemas.openxmlformats.org/officeDocument/2006/relationships/hyperlink" Id="rId46" Target="http://www.chinasafety.gov.cn/newpage/Contents/Channel_6288/2016/0405/267610/content_267610.htm" TargetMode="External" /><Relationship Type="http://schemas.openxmlformats.org/officeDocument/2006/relationships/hyperlink" Id="rId42" Target="http://www.circ.gov.cn/web/site0/tab5168/info4024823.htm" TargetMode="External" /><Relationship Type="http://schemas.openxmlformats.org/officeDocument/2006/relationships/hyperlink" Id="rId69" Target="http://www.gov.cn/zhengce/content/2016-03/31/content_5060062.htm" TargetMode="External" /><Relationship Type="http://schemas.openxmlformats.org/officeDocument/2006/relationships/hyperlink" Id="rId66" Target="http://www.gov.cn/zhengce/content/2016-04/01/content_5060345.htm" TargetMode="External" /><Relationship Type="http://schemas.openxmlformats.org/officeDocument/2006/relationships/hyperlink" Id="rId32" Target="http://www.gs-l-tax.gov.cn/art/2016/4/5/art_122_2481.html" TargetMode="External" /><Relationship Type="http://schemas.openxmlformats.org/officeDocument/2006/relationships/hyperlink" Id="rId29" Target="http://www.gs-n-tax.gov.cn/xxgk/xxgkml/zcfg/ssfg/201604/t20160406_99899.html" TargetMode="External" /><Relationship Type="http://schemas.openxmlformats.org/officeDocument/2006/relationships/hyperlink" Id="rId52" Target="http://www.miit.gov.cn/n1146295/n1652858/n1652930/n3757016/c4692586/content.html" TargetMode="External" /><Relationship Type="http://schemas.openxmlformats.org/officeDocument/2006/relationships/hyperlink" Id="rId63" Target="http://www.mohrss.gov.cn/gkml/xxgk/201603/t20160331_236984.htm" TargetMode="External" /><Relationship Type="http://schemas.openxmlformats.org/officeDocument/2006/relationships/hyperlink" Id="rId55" Target="http://zfxxgk.nea.gov.cn/auto82/201604/t20160401_2219.htm" TargetMode="External" /><Relationship Type="http://schemas.openxmlformats.org/officeDocument/2006/relationships/hyperlink" Id="rId49" Target="http://zizhan.mot.gov.cn/zfxxgk/bnssj/zcfgs/201604/t20160405_2009220.html" TargetMode="External" /><Relationship Type="http://schemas.openxmlformats.org/officeDocument/2006/relationships/hyperlink" Id="rId74"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第496期 - 2016年04月08日</dc:title>
  <dc:creator/>
</cp:coreProperties>
</file>