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第497期</w:t>
      </w:r>
      <w:r>
        <w:t xml:space="preserve"> </w:t>
      </w:r>
      <w:r>
        <w:t xml:space="preserve">-</w:t>
      </w:r>
      <w:r>
        <w:t xml:space="preserve"> </w:t>
      </w:r>
      <w:r>
        <w:t xml:space="preserve">2016年04月15日</w:t>
      </w:r>
    </w:p>
    <w:p>
      <w:hyperlink r:id="rId21">
        <w:r>
          <w:rPr>
            <w:rStyle w:val="Link"/>
          </w:rPr>
          <w:t xml:space="preserve">网络版</w:t>
        </w:r>
      </w:hyperlink>
    </w:p>
    <w:p>
      <w:pPr>
        <w:pStyle w:val="Heading1"/>
      </w:pPr>
      <w:bookmarkStart w:id="22" w:name="中国法讯第497期"/>
      <w:bookmarkEnd w:id="22"/>
      <w:r>
        <w:t xml:space="preserve">中国法讯第497期</w:t>
      </w:r>
    </w:p>
    <w:p>
      <w:pPr>
        <w:pStyle w:val="Heading2"/>
      </w:pPr>
      <w:bookmarkStart w:id="23" w:name="资本市场"/>
      <w:bookmarkEnd w:id="23"/>
      <w:r>
        <w:t xml:space="preserve">资本市场</w:t>
      </w:r>
    </w:p>
    <w:p>
      <w:pPr>
        <w:pStyle w:val="Heading3"/>
      </w:pPr>
      <w:bookmarkStart w:id="24" w:name="国家能源局发文积极推广ppp"/>
      <w:bookmarkEnd w:id="24"/>
      <w:r>
        <w:t xml:space="preserve">国家能源局发文积极推广PPP</w:t>
      </w:r>
    </w:p>
    <w:p>
      <w:r>
        <w:t xml:space="preserve">近日，国家能源局发布《关于在能源领域积极推广政府和社会资本合作模式的通知》（下称《通知》）。</w:t>
      </w:r>
    </w:p>
    <w:p>
      <w:r>
        <w:t xml:space="preserve">《通知》提出，通过运用政府和社会资本合作模式，改革创新能源领域公共服务供给机制，拓宽投融资渠道，充分调动社会资本参与能源领域项目建设的积极性，有效提高能源领域公共服务水平等。同时，《通知》明确，能源领域推广PPP主要适用于政府负有提供责任又适宜市场化运作的公共服务、基础设施类项目，能源领域推广PPP范围包括但不限于电力及新能源类项目、石油和天然气类项目、煤炭类项目。《通知》还规定，各级能源主管部门要规范有序推进项目，应从PPP项目储备库中，选择条件成熟的建设项目作为备选，委托招标机构拟定招标文书，采取公开招投标等方式，确定承担单位。</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期所对9个实施细则进行修订"/>
      <w:bookmarkEnd w:id="27"/>
      <w:r>
        <w:t xml:space="preserve">上期所对9个实施细则进行修订</w:t>
      </w:r>
    </w:p>
    <w:p>
      <w:r>
        <w:t xml:space="preserve">2016年4月13日，上海期货交易所公布了修订后的《上海期货交易所结算细则》《上海期货交易所交割细则》等9个实施细则，包括引入标准仓单作为保证金即时入场、优化交割货款付款方式、取消标准仓单作为保证金的最长有效期限制、取消纸质仓单等。</w:t>
      </w:r>
    </w:p>
    <w:p>
      <w:r>
        <w:t xml:space="preserve">修订后标准仓单作为保证金即时入场的规则（涉及《上海期货交易所结算细则》第六十九条、第七十条、第七十一条）、标准仓单作为保证金有效期的规则（涉及《上海期货交易所结算细则》第七十二条）、交割货款收付规则（涉及《上海期货交易所结算细则》第五十九条），自2016年9月27日（含该交易日连续交易时间，即9月26日21:00）起实施。本次其他修订规则自2016年6月1日起实施。</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 (</w:t>
      </w:r>
      <w:hyperlink r:id="rId31">
        <w:r>
          <w:rPr>
            <w:rStyle w:val="Link"/>
          </w:rPr>
          <w:t xml:space="preserve">副本</w:t>
        </w:r>
      </w:hyperlink>
      <w:r>
        <w:t xml:space="preserve">) (</w:t>
      </w:r>
      <w:hyperlink r:id="rId32">
        <w:r>
          <w:rPr>
            <w:rStyle w:val="Link"/>
          </w:rPr>
          <w:t xml:space="preserve">副本</w:t>
        </w:r>
      </w:hyperlink>
      <w:r>
        <w:t xml:space="preserve">) (</w:t>
      </w:r>
      <w:hyperlink r:id="rId33">
        <w:r>
          <w:rPr>
            <w:rStyle w:val="Link"/>
          </w:rPr>
          <w:t xml:space="preserve">副本</w:t>
        </w:r>
      </w:hyperlink>
      <w:r>
        <w:t xml:space="preserve">) (</w:t>
      </w:r>
      <w:hyperlink r:id="rId34">
        <w:r>
          <w:rPr>
            <w:rStyle w:val="Link"/>
          </w:rPr>
          <w:t xml:space="preserve">副本</w:t>
        </w:r>
      </w:hyperlink>
      <w:r>
        <w:t xml:space="preserve">) (</w:t>
      </w:r>
      <w:hyperlink r:id="rId35">
        <w:r>
          <w:rPr>
            <w:rStyle w:val="Link"/>
          </w:rPr>
          <w:t xml:space="preserve">副本</w:t>
        </w:r>
      </w:hyperlink>
      <w:r>
        <w:t xml:space="preserve">) (</w:t>
      </w:r>
      <w:hyperlink r:id="rId36">
        <w:r>
          <w:rPr>
            <w:rStyle w:val="Link"/>
          </w:rPr>
          <w:t xml:space="preserve">副本</w:t>
        </w:r>
      </w:hyperlink>
      <w:r>
        <w:t xml:space="preserve">) (</w:t>
      </w:r>
      <w:hyperlink r:id="rId37">
        <w:r>
          <w:rPr>
            <w:rStyle w:val="Link"/>
          </w:rPr>
          <w:t xml:space="preserve">副本</w:t>
        </w:r>
      </w:hyperlink>
      <w:r>
        <w:t xml:space="preserve">)</w:t>
      </w:r>
    </w:p>
    <w:p>
      <w:pPr>
        <w:pStyle w:val="Heading2"/>
      </w:pPr>
      <w:bookmarkStart w:id="38" w:name="税收"/>
      <w:bookmarkEnd w:id="38"/>
      <w:r>
        <w:t xml:space="preserve">税收</w:t>
      </w:r>
    </w:p>
    <w:p>
      <w:pPr>
        <w:pStyle w:val="Heading3"/>
      </w:pPr>
      <w:bookmarkStart w:id="39" w:name="税总明确营改增委托地税局代开增值税发票问题"/>
      <w:bookmarkEnd w:id="39"/>
      <w:r>
        <w:t xml:space="preserve">税总明确营改增委托地税局代开增值税发票问题</w:t>
      </w:r>
    </w:p>
    <w:p>
      <w:r>
        <w:t xml:space="preserve">近日，国税总局发布《关于营业税改征增值税委托地税局代征税款和代开增值税发票的通知》（下称《通知》）。</w:t>
      </w:r>
    </w:p>
    <w:p>
      <w:r>
        <w:t xml:space="preserve">《通知》规定，国税局是增值税的主管税务机关。营改增后暂定由地税局办理纳税人销售其取得的不动产和其他个人出租不动产增值税的纳税申报受理、计税价格评估、税款征收、税收优惠备案、发票代开等有关事项。地税局办理征缴、退库业务，使用地税局税收票证，并负责收入对账、会计核算、汇总上报工作。同时，《通知》明确，在国税局代开增值税发票流程基础上，地税局按纳税人销售其取得的不动产和其他个人出租不动产增值税征收管理办法有关规定，为纳税人代开增值税发票。原地税营业税发票停止使用。另外，《通知》还详细列明了发票开具等相关事项。</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中国印尼对所得避免双重征税协定议定书生效"/>
      <w:bookmarkEnd w:id="42"/>
      <w:r>
        <w:t xml:space="preserve">中国印尼对所得避免双重征税协定议定书生效</w:t>
      </w:r>
    </w:p>
    <w:p>
      <w:r>
        <w:t xml:space="preserve">近日，国税总局公布《关于〈中华人民共和国政府和印度尼西亚共和国政府关于对所得避免双重征税和防止偷漏税的协定〉议定书生效执行的公告》（下称《公告》）。</w:t>
      </w:r>
    </w:p>
    <w:p>
      <w:r>
        <w:t xml:space="preserve">《公告》称，中国印尼所签议定书自2016年3月16日起生效，适用于2017年1月1日及以后取得的所得。根据相关解读，议定书对协定第八条（海运和空运）进行了修订，规定两国对从事国际运输的对方国家航空企业互免增值税或类似税收。此规定将有助于进一步降低企业税收负担，促进两国经贸往来与合作。</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税总局延长2016出口退免税相关业务申报期限"/>
      <w:bookmarkEnd w:id="45"/>
      <w:r>
        <w:t xml:space="preserve">国税总局：延长2016出口退（免）税相关业务申报期限</w:t>
      </w:r>
    </w:p>
    <w:p>
      <w:r>
        <w:t xml:space="preserve">日前，国税总局下发《关于延长2016年出口退（免）税相关业务申报期限的公告》（下称《公告》）。</w:t>
      </w:r>
    </w:p>
    <w:p>
      <w:r>
        <w:t xml:space="preserve">《公告》规定：1、出口退（免）税申报期限由2016年4月份增值税纳税申报期截止之日延长至6月份增值税纳税申报期截止之日。逾期的，主管国税机关不再受理，企业应在7月份按规定申报免税；未按规定申报免税的，企业应按规定申报纳税。2、申请进料加工业务年度核销的期限由2016年4月20日延长至6月20日。3、申请来料加工出口货物免税核销的期限由2016年5月15日延长至7月15日。4、申请开具《代理出口货物证明》的期限由2016年4月15日延长至6月15日；申请开具《委托出口货物证明》的期限由2016年3月15日延长至5月15日。</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行业"/>
      <w:bookmarkEnd w:id="48"/>
      <w:r>
        <w:t xml:space="preserve">行业</w:t>
      </w:r>
    </w:p>
    <w:p>
      <w:pPr>
        <w:pStyle w:val="Heading3"/>
      </w:pPr>
      <w:bookmarkStart w:id="49" w:name="工信部发文推动工业和通信业强制性标准整合精简"/>
      <w:bookmarkEnd w:id="49"/>
      <w:r>
        <w:t xml:space="preserve">工信部发文推动工业和通信业强制性标准整合精简</w:t>
      </w:r>
    </w:p>
    <w:p>
      <w:r>
        <w:t xml:space="preserve">日前，工信部办公厅下发《关于扎实做好工业和通信业强制性标准整合精简工作的通知》（下称《通知》）。</w:t>
      </w:r>
    </w:p>
    <w:p>
      <w:r>
        <w:t xml:space="preserve">根据《通知》，整合精简要求包括保留（整合、修订、继续有效）、转化和废止三类：属于强制性标准范围的，且标准内容与安全、健康、环保和社会经济管理基本要求直接相关的强制性标准，应保留强制性；不属于强制性范围的，但仍需对相关技术、产品、管理进行规范的标准，应转化为推荐性标准；不属于强制性范围的，且标准内容陈旧落后已不能满足技术、管理等要求的标准，或属于强制性范围但无法实施有效监督管理和缺乏可操作性的标准，应予以废止，强制性行业标准内容与强制性国家标准内容一致的也要废止。</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环保部发文推进环评机构脱钩工作"/>
      <w:bookmarkEnd w:id="52"/>
      <w:r>
        <w:t xml:space="preserve">环保部发文推进环评机构脱钩工作</w:t>
      </w:r>
    </w:p>
    <w:p>
      <w:r>
        <w:t xml:space="preserve">近日，环保部办公厅下发《关于推进环保系统环评机构脱钩工作相关要求的通知》（下称《通知》）。</w:t>
      </w:r>
    </w:p>
    <w:p>
      <w:r>
        <w:t xml:space="preserve">《通知》规定：一、拟采取将环评业务转至自然人出资设立的机构或国有股份转让等方式脱钩的机构，列入第二批的，原则上应于2016年5月10日前向环保部上报脱钩申请材料；列入第三批的，原则上应于11月10日前上报。二、列入第二批且资质有效期在2016年5月10日至6月30日期间内届满的脱钩机构，列入第三批且资质有效期在2016年11月10日至12月31日期间内届满的脱钩机构，无需再向环保部上报资质延续申请材料，可直接上报脱钩申请材料或注销申请材料。另外，《通知》还称，省级及以下环保系统环评机构自脱钩时限到期前3个月起，不得再承接新的建设项目环评文件编制委托。</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十五部门发文加强科研信用体系建设"/>
      <w:bookmarkEnd w:id="55"/>
      <w:r>
        <w:t xml:space="preserve">十五部门发文加强科研信用体系建设</w:t>
      </w:r>
    </w:p>
    <w:p>
      <w:r>
        <w:t xml:space="preserve">近日，科技部等十五部门出台《国家科技计划（专项、基金等）严重失信行为记录暂行规定》（下称《规定》），自发布之日实施。</w:t>
      </w:r>
    </w:p>
    <w:p>
      <w:r>
        <w:t xml:space="preserve">根据《规定》，参与科技计划、项目管理和实施的相关项目承担人员、咨询评审专家等自然人，具有“采取贿赂或变相贿赂、造假、故意重复申报等不正当手段获取科技计划和项目承担资格”等八种行为之一的，属严重失信行为；参与科技计划、项目管理和实施相关项目管理专业机构、项目承担单位以及中介服务机构等法人和机构，具有“采取贿赂或变相贿赂、造假、故意重复申报等不正当手段获取管理、承担科技计划和项目或中介服务资格”等七种行为之一的，属严重失信行为。具有上述行为的责任主体，且受到“受到刑事处罚或行政处罚并正式公告”等五种处理之一的，纳入严重失信行为记录。</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国土部支持化解钢铁煤炭过剩产能"/>
      <w:bookmarkEnd w:id="58"/>
      <w:r>
        <w:t xml:space="preserve">国土部：支持化解钢铁煤炭过剩产能</w:t>
      </w:r>
    </w:p>
    <w:p>
      <w:r>
        <w:t xml:space="preserve">日前，国土资源部下发《关于支持钢铁煤炭行业化解过剩产能实现脱困发展的意见》（下称《意见》），《意见》有效期为5年。</w:t>
      </w:r>
    </w:p>
    <w:p>
      <w:r>
        <w:t xml:space="preserve">《意见》提出“严格控制新增产能用地用矿”等三方面共计十二项具体措施。其中，《意见》规定，对钢铁、煤炭行业新建项目、新增产能的技术改造项目和产能核增项目，一律不予受理用地预审，并且从2016年起，3年内停止煤炭划定矿区范围审批。《意见》还明确，煤矿企业兼并重组后资源储量规模大于1亿吨（焦煤资源储量大于5000万吨）的煤炭采矿权审批登记手续，一律由省级国土资源主管部门依法办理；积极为煤炭企业做好采矿权抵押服务；对退出企业按规定注销的矿业权，已缴纳矿业权价款的矿业权人可按有关规定申请退还剩余储量对应已缴纳价款。</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并购"/>
      <w:bookmarkEnd w:id="61"/>
      <w:r>
        <w:t xml:space="preserve">并购</w:t>
      </w:r>
    </w:p>
    <w:p>
      <w:pPr>
        <w:pStyle w:val="Heading3"/>
      </w:pPr>
      <w:bookmarkStart w:id="62" w:name="银亿股份33亿间接并购海外高端制造业"/>
      <w:bookmarkEnd w:id="62"/>
      <w:r>
        <w:t xml:space="preserve">银亿股份33亿间接并购海外高端制造业</w:t>
      </w:r>
    </w:p>
    <w:p>
      <w:r>
        <w:t xml:space="preserve">银亿股份近日公告，公司拟以5.91元/股非公开发行5.58亿股，作价33亿元收购公司控股股东银亿控股全资子公司西藏银亿旗下宁波昊圣的100%股权，从而间接持有美国ARC集团相关资产；同时拟以8.06元/股向银亿控股非公开发行股份，募集配套资金不超过8.25亿元，用于补充公司流动资金。收购完成后，银亿股份将拥有房地产和高端制造双主业，成为一家多元发展、产融结合的综合跨国集团。</w:t>
      </w:r>
    </w:p>
    <w:p>
      <w:r>
        <w:t xml:space="preserve">资料显示，ARC是一家专业研发设计、生产销售气体发生器的跨国公司，在包括美国和中国在内的4个国家建有6个生产基地。在汽车安全气囊气体发生器细分领域，ARC是全球第二大独立生产商，产品主要供应给奥托利夫、天合、高田、百利得、现代摩比斯和丰田合成等全球最大的安全气囊生产商。</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宏图高科27亿跨界收购拍卖公司"/>
      <w:bookmarkEnd w:id="65"/>
      <w:r>
        <w:t xml:space="preserve">宏图高科27亿跨界收购拍卖公司</w:t>
      </w:r>
    </w:p>
    <w:p>
      <w:r>
        <w:t xml:space="preserve">宏图高科4月11日披露资产购买预案。公司拟发行股份方式收购北京匡时国际拍卖有限公司（下称“匡时国际”）100%的股权，交易对价为27亿元，拟以13.01元/股的价格共发行20753.27万股。同时，宏图高科拟向实际控制人袁亚非及“定增大王”刘益谦发行股份募集配套资金不超过15亿元。</w:t>
      </w:r>
    </w:p>
    <w:p>
      <w:r>
        <w:t xml:space="preserve">资料显示，匡时国际是一家综合性拍卖公司，成立于2005年10月，在拍卖行业居第一梯队。在2006和2007两届“艺术中国”年度评选中，分别获得“最有影响力拍卖公司”、“最具成长力拍卖公司”奖项。</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最高法出台司法解释-规范相关法院处分查封财产问题"/>
      <w:bookmarkEnd w:id="69"/>
      <w:r>
        <w:t xml:space="preserve">最高法出台司法解释 规范相关法院处分查封财产问题</w:t>
      </w:r>
    </w:p>
    <w:p>
      <w:r>
        <w:t xml:space="preserve">2016年4月12日，最高人民法院公布了《关于首先查封法院与优先债权执行法院处分查封财产有关问题的批复》（《批复》），自2016年4月14日起施行。</w:t>
      </w:r>
    </w:p>
    <w:p>
      <w:r>
        <w:t xml:space="preserve">《批复》明确，执行过程中，应当由首先查封、扣押、冻结（以下简称查封）法院负责处分查封财产，但已进入其他法院执行程序的债权对查封财产有顺位在先的担保物权、优先权（该债权以下简称优先债权），自首先查封之日起已超过60日，且首先查封法院尚未就该查封财产发布拍卖公告或者进入变卖程序的，优先债权执行法院可以要求将该查封财产移送执行。</w:t>
      </w:r>
    </w:p>
    <w:p>
      <w:r>
        <w:t xml:space="preserve">《批复》明确，财产移送执行后，优先债权执行法院在处分或继续查封该财产时，可以持首先查封法院移送执行函办理相关手续。优先债权执行法院对移送的财产变价后，应当按照法律规定的清偿顺序分配，并将相关情况告知首先查封法院。首先查封债权尚未经生效法律文书确认的，应当按照首先查封债权的清偿顺位，预留相应份额。</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土资源部印发国土资源十三五规划纲要"/>
      <w:bookmarkEnd w:id="72"/>
      <w:r>
        <w:t xml:space="preserve">国土资源部印发国土资源“十三五”规划纲要</w:t>
      </w:r>
    </w:p>
    <w:p>
      <w:r>
        <w:t xml:space="preserve">近日，《国土资源“十三五”规划纲要》（《纲要》）正式印发，旨在优化国土资源开发与保护格局，提升国土资源利用质量和效益。</w:t>
      </w:r>
    </w:p>
    <w:p>
      <w:r>
        <w:t xml:space="preserve">《纲要》明确十三五期间国土资源的主要目标，包括国土资源保护更加有效，国土资源保障能力显著增强，国土资源节约集约利用水平普遍提高，国土资源服务民生和生态建设成效明显，国土资源改革创新取得实质性进展，国土资源管理水平总体提升。</w:t>
      </w:r>
    </w:p>
    <w:p>
      <w:r>
        <w:t xml:space="preserve">《纲要》提及建立耕地保护补偿制度。综合考虑土地整治、高标准农田建设任务、基本农田保护面积等，进一步完善耕地保护建设性补偿机制。审慎稳妥推进农村土地制度改革。总结农村土地制度改革试点经验，推动相关法律法规修订，在全国复制推广。完善土地征收制度，缩小征收范围，规范征收程序，公开征收信息，健全对被征地农民合理、规范、多元补偿保障机制。</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第497期 - 2016年04月15日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fc186f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7" Target="11.pdf" TargetMode="External" /><Relationship Type="http://schemas.openxmlformats.org/officeDocument/2006/relationships/hyperlink" Id="rId71" Target="12.pdf" TargetMode="External" /><Relationship Type="http://schemas.openxmlformats.org/officeDocument/2006/relationships/hyperlink" Id="rId74" Target="13.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2" Target="2c.pdf" TargetMode="External" /><Relationship Type="http://schemas.openxmlformats.org/officeDocument/2006/relationships/hyperlink" Id="rId33" Target="2d.pdf" TargetMode="External" /><Relationship Type="http://schemas.openxmlformats.org/officeDocument/2006/relationships/hyperlink" Id="rId34" Target="2e.pdf" TargetMode="External" /><Relationship Type="http://schemas.openxmlformats.org/officeDocument/2006/relationships/hyperlink" Id="rId35" Target="2f.pdf" TargetMode="External" /><Relationship Type="http://schemas.openxmlformats.org/officeDocument/2006/relationships/hyperlink" Id="rId36" Target="2g.pdf" TargetMode="External" /><Relationship Type="http://schemas.openxmlformats.org/officeDocument/2006/relationships/hyperlink" Id="rId37" Target="2h.pdf" TargetMode="External" /><Relationship Type="http://schemas.openxmlformats.org/officeDocument/2006/relationships/hyperlink" Id="rId41" Target="3.pdf" TargetMode="External" /><Relationship Type="http://schemas.openxmlformats.org/officeDocument/2006/relationships/hyperlink" Id="rId44" Target="4.pdf" TargetMode="External" /><Relationship Type="http://schemas.openxmlformats.org/officeDocument/2006/relationships/hyperlink" Id="rId47" Target="5.pdf" TargetMode="External" /><Relationship Type="http://schemas.openxmlformats.org/officeDocument/2006/relationships/hyperlink" Id="rId51" Target="6.pdf" TargetMode="External" /><Relationship Type="http://schemas.openxmlformats.org/officeDocument/2006/relationships/hyperlink" Id="rId54" Target="7.pdf" TargetMode="External" /><Relationship Type="http://schemas.openxmlformats.org/officeDocument/2006/relationships/hyperlink" Id="rId57" Target="8.pdf" TargetMode="External" /><Relationship Type="http://schemas.openxmlformats.org/officeDocument/2006/relationships/hyperlink" Id="rId60" Target="9.pdf" TargetMode="External" /><Relationship Type="http://schemas.openxmlformats.org/officeDocument/2006/relationships/hyperlink" Id="rId66" Target="http://epaper.stcn.com/paper/zqsb/html/2016-04/11/content_808605.htm" TargetMode="External" /><Relationship Type="http://schemas.openxmlformats.org/officeDocument/2006/relationships/hyperlink" Id="rId63" Target="http://epaper.stcn.com/paper/zqsb/html/epaper/index/content_810243.htm" TargetMode="External" /><Relationship Type="http://schemas.openxmlformats.org/officeDocument/2006/relationships/hyperlink" Id="rId70" Target="http://rmfyb.chinacourt.org/paper/html/2016-04/13/content_110724.htm?div=-1" TargetMode="External" /><Relationship Type="http://schemas.openxmlformats.org/officeDocument/2006/relationships/hyperlink" Id="rId21" Target="http://www.charltonslaw.com.cn/china-news-alerts-cn-issue-497/" TargetMode="External" /><Relationship Type="http://schemas.openxmlformats.org/officeDocument/2006/relationships/hyperlink" Id="rId43" Target="http://www.chinatax.gov.cn/n810341/n810755/c2065520/content.html" TargetMode="External" /><Relationship Type="http://schemas.openxmlformats.org/officeDocument/2006/relationships/hyperlink" Id="rId46" Target="http://www.chinatax.gov.cn/n810341/n810755/c2065559/content.html" TargetMode="External" /><Relationship Type="http://schemas.openxmlformats.org/officeDocument/2006/relationships/hyperlink" Id="rId53" Target="http://www.mep.gov.cn/gkml/hbb/bgth/201604/t20160411_335056.htm" TargetMode="External" /><Relationship Type="http://schemas.openxmlformats.org/officeDocument/2006/relationships/hyperlink" Id="rId50" Target="http://www.miit.gov.cn/n1146295/n1652858/n1652930/n3757016/c4705646/content.html" TargetMode="External" /><Relationship Type="http://schemas.openxmlformats.org/officeDocument/2006/relationships/hyperlink" Id="rId59" Target="http://www.mlr.gov.cn/zwgk/zytz/201604/t20160414_1402210.htm" TargetMode="External" /><Relationship Type="http://schemas.openxmlformats.org/officeDocument/2006/relationships/hyperlink" Id="rId73" Target="http://www.mlr.gov.cn/zwgk/zytz/201604/t20160414_1402256.htm" TargetMode="External" /><Relationship Type="http://schemas.openxmlformats.org/officeDocument/2006/relationships/hyperlink" Id="rId56" Target="http://www.most.gov.cn/mostinfo/xinxifenlei/fgzc/gfxwj/gfxwj2016/201604/t20160407_125044.htm" TargetMode="External" /><Relationship Type="http://schemas.openxmlformats.org/officeDocument/2006/relationships/hyperlink" Id="rId28" Target="http://www.shfe.com.cn/news/notice/911324928.html" TargetMode="External" /><Relationship Type="http://schemas.openxmlformats.org/officeDocument/2006/relationships/hyperlink" Id="rId40" Target="http://yc.nxgs.gov.cn/info/1187/7303.htm" TargetMode="External" /><Relationship Type="http://schemas.openxmlformats.org/officeDocument/2006/relationships/hyperlink" Id="rId25" Target="http://zfxxgk.nea.gov.cn/auto81/201604/t20160413_2232.htm?keywords"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4" Target="10.pdf" TargetMode="External" /><Relationship Type="http://schemas.openxmlformats.org/officeDocument/2006/relationships/hyperlink" Id="rId67" Target="11.pdf" TargetMode="External" /><Relationship Type="http://schemas.openxmlformats.org/officeDocument/2006/relationships/hyperlink" Id="rId71" Target="12.pdf" TargetMode="External" /><Relationship Type="http://schemas.openxmlformats.org/officeDocument/2006/relationships/hyperlink" Id="rId74" Target="13.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1" Target="2b.pdf" TargetMode="External" /><Relationship Type="http://schemas.openxmlformats.org/officeDocument/2006/relationships/hyperlink" Id="rId32" Target="2c.pdf" TargetMode="External" /><Relationship Type="http://schemas.openxmlformats.org/officeDocument/2006/relationships/hyperlink" Id="rId33" Target="2d.pdf" TargetMode="External" /><Relationship Type="http://schemas.openxmlformats.org/officeDocument/2006/relationships/hyperlink" Id="rId34" Target="2e.pdf" TargetMode="External" /><Relationship Type="http://schemas.openxmlformats.org/officeDocument/2006/relationships/hyperlink" Id="rId35" Target="2f.pdf" TargetMode="External" /><Relationship Type="http://schemas.openxmlformats.org/officeDocument/2006/relationships/hyperlink" Id="rId36" Target="2g.pdf" TargetMode="External" /><Relationship Type="http://schemas.openxmlformats.org/officeDocument/2006/relationships/hyperlink" Id="rId37" Target="2h.pdf" TargetMode="External" /><Relationship Type="http://schemas.openxmlformats.org/officeDocument/2006/relationships/hyperlink" Id="rId41" Target="3.pdf" TargetMode="External" /><Relationship Type="http://schemas.openxmlformats.org/officeDocument/2006/relationships/hyperlink" Id="rId44" Target="4.pdf" TargetMode="External" /><Relationship Type="http://schemas.openxmlformats.org/officeDocument/2006/relationships/hyperlink" Id="rId47" Target="5.pdf" TargetMode="External" /><Relationship Type="http://schemas.openxmlformats.org/officeDocument/2006/relationships/hyperlink" Id="rId51" Target="6.pdf" TargetMode="External" /><Relationship Type="http://schemas.openxmlformats.org/officeDocument/2006/relationships/hyperlink" Id="rId54" Target="7.pdf" TargetMode="External" /><Relationship Type="http://schemas.openxmlformats.org/officeDocument/2006/relationships/hyperlink" Id="rId57" Target="8.pdf" TargetMode="External" /><Relationship Type="http://schemas.openxmlformats.org/officeDocument/2006/relationships/hyperlink" Id="rId60" Target="9.pdf" TargetMode="External" /><Relationship Type="http://schemas.openxmlformats.org/officeDocument/2006/relationships/hyperlink" Id="rId66" Target="http://epaper.stcn.com/paper/zqsb/html/2016-04/11/content_808605.htm" TargetMode="External" /><Relationship Type="http://schemas.openxmlformats.org/officeDocument/2006/relationships/hyperlink" Id="rId63" Target="http://epaper.stcn.com/paper/zqsb/html/epaper/index/content_810243.htm" TargetMode="External" /><Relationship Type="http://schemas.openxmlformats.org/officeDocument/2006/relationships/hyperlink" Id="rId70" Target="http://rmfyb.chinacourt.org/paper/html/2016-04/13/content_110724.htm?div=-1" TargetMode="External" /><Relationship Type="http://schemas.openxmlformats.org/officeDocument/2006/relationships/hyperlink" Id="rId21" Target="http://www.charltonslaw.com.cn/china-news-alerts-cn-issue-497/" TargetMode="External" /><Relationship Type="http://schemas.openxmlformats.org/officeDocument/2006/relationships/hyperlink" Id="rId43" Target="http://www.chinatax.gov.cn/n810341/n810755/c2065520/content.html" TargetMode="External" /><Relationship Type="http://schemas.openxmlformats.org/officeDocument/2006/relationships/hyperlink" Id="rId46" Target="http://www.chinatax.gov.cn/n810341/n810755/c2065559/content.html" TargetMode="External" /><Relationship Type="http://schemas.openxmlformats.org/officeDocument/2006/relationships/hyperlink" Id="rId53" Target="http://www.mep.gov.cn/gkml/hbb/bgth/201604/t20160411_335056.htm" TargetMode="External" /><Relationship Type="http://schemas.openxmlformats.org/officeDocument/2006/relationships/hyperlink" Id="rId50" Target="http://www.miit.gov.cn/n1146295/n1652858/n1652930/n3757016/c4705646/content.html" TargetMode="External" /><Relationship Type="http://schemas.openxmlformats.org/officeDocument/2006/relationships/hyperlink" Id="rId59" Target="http://www.mlr.gov.cn/zwgk/zytz/201604/t20160414_1402210.htm" TargetMode="External" /><Relationship Type="http://schemas.openxmlformats.org/officeDocument/2006/relationships/hyperlink" Id="rId73" Target="http://www.mlr.gov.cn/zwgk/zytz/201604/t20160414_1402256.htm" TargetMode="External" /><Relationship Type="http://schemas.openxmlformats.org/officeDocument/2006/relationships/hyperlink" Id="rId56" Target="http://www.most.gov.cn/mostinfo/xinxifenlei/fgzc/gfxwj/gfxwj2016/201604/t20160407_125044.htm" TargetMode="External" /><Relationship Type="http://schemas.openxmlformats.org/officeDocument/2006/relationships/hyperlink" Id="rId28" Target="http://www.shfe.com.cn/news/notice/911324928.html" TargetMode="External" /><Relationship Type="http://schemas.openxmlformats.org/officeDocument/2006/relationships/hyperlink" Id="rId40" Target="http://yc.nxgs.gov.cn/info/1187/7303.htm" TargetMode="External" /><Relationship Type="http://schemas.openxmlformats.org/officeDocument/2006/relationships/hyperlink" Id="rId25" Target="http://zfxxgk.nea.gov.cn/auto81/201604/t20160413_2232.htm?keywords"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第497期 - 2016年04月15日</dc:title>
  <dc:creator/>
</cp:coreProperties>
</file>