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第499期</w:t>
      </w:r>
      <w:r>
        <w:t xml:space="preserve"> </w:t>
      </w:r>
      <w:r>
        <w:t xml:space="preserve">-</w:t>
      </w:r>
      <w:r>
        <w:t xml:space="preserve"> </w:t>
      </w:r>
      <w:r>
        <w:t xml:space="preserve">2016年05月06日</w:t>
      </w:r>
    </w:p>
    <w:p>
      <w:hyperlink r:id="rId21">
        <w:r>
          <w:rPr>
            <w:rStyle w:val="Link"/>
          </w:rPr>
          <w:t xml:space="preserve">网络版</w:t>
        </w:r>
      </w:hyperlink>
    </w:p>
    <w:p>
      <w:pPr>
        <w:pStyle w:val="Heading1"/>
      </w:pPr>
      <w:bookmarkStart w:id="22" w:name="中国法讯第499期"/>
      <w:bookmarkEnd w:id="22"/>
      <w:r>
        <w:t xml:space="preserve">中国法讯第499期</w:t>
      </w:r>
    </w:p>
    <w:p>
      <w:pPr>
        <w:pStyle w:val="Heading2"/>
      </w:pPr>
      <w:bookmarkStart w:id="23" w:name="资本市场"/>
      <w:bookmarkEnd w:id="23"/>
      <w:r>
        <w:t xml:space="preserve">资本市场</w:t>
      </w:r>
    </w:p>
    <w:p>
      <w:pPr>
        <w:pStyle w:val="Heading3"/>
      </w:pPr>
      <w:bookmarkStart w:id="24" w:name="两部门开展黄金进出口非一批一证管理试点"/>
      <w:bookmarkEnd w:id="24"/>
      <w:r>
        <w:t xml:space="preserve">两部门开展黄金进出口“非一批一证”管理试点</w:t>
      </w:r>
    </w:p>
    <w:p>
      <w:r>
        <w:t xml:space="preserve">近日，中国人民银行、海关总署发布公告称，自2016年6月1日起，决定开展《中国人民银行黄金及黄金制品进出口准许证》“非一批一证”管理试点工作。</w:t>
      </w:r>
    </w:p>
    <w:p>
      <w:r>
        <w:t xml:space="preserve">公告显示，黄金及黄金制品进出口业务频繁的法人可以按照《黄金及黄金制品进出口管理办法》的条件和审批流程，申请“非一批一证”《准许证》。实行“非一批一证”的《准许证》可以在有效期内、不超过规定数量和批次报关使用。具体做法是，海关在《准许证》正本背面“海关验放签注栏”内逐笔签注核减进（出）口的数量，报关批次最多不超过12次。</w:t>
      </w:r>
    </w:p>
    <w:p>
      <w:r>
        <w:t xml:space="preserve">公告明确，实行“非一批一证”《准许证》管理试点海关为北京、上海、广州、南京、青岛、深圳海关。其他海关，仍按照现行规定办理。</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新版证券投资者保护基金管理办法发布"/>
      <w:bookmarkEnd w:id="27"/>
      <w:r>
        <w:t xml:space="preserve">新版《证券投资者保护基金管理办法》发布</w:t>
      </w:r>
    </w:p>
    <w:p>
      <w:r>
        <w:t xml:space="preserve">近日，证监会、财政部、央行联合发布修订后的《证券投资者保护基金管理办法》（《办法》），自2016年6月1日起施行。</w:t>
      </w:r>
    </w:p>
    <w:p>
      <w:r>
        <w:t xml:space="preserve">与修订前相比，《办法》完善了投保基金公司的治理结构，优化董事会组成和董事长确定程序，增设经理层，明确公司章程的制定程序。《办法》同时增加了基金筹集方式，中国人民银行可安排发放专项再贷款，垫付基金的初始资金，专项再贷款余额的上限以国务院批准额度为准。</w:t>
      </w:r>
    </w:p>
    <w:p>
      <w:r>
        <w:t xml:space="preserve">《办法》明确，基金公司设立董事会。董事会由9 名董事组成。其中4 人为执行董事，其他为非执行董事。董事长人选由证监会商财政部、中国人民银行确定后，报国务院备案。基金公司章程由证监会商财政部、中国人民银行依照法律、行政法规和本办法制定。</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外汇局促进贸易投资便利化-完善真实性审核"/>
      <w:bookmarkEnd w:id="30"/>
      <w:r>
        <w:t xml:space="preserve">外汇局：促进贸易投资便利化 完善真实性审核</w:t>
      </w:r>
    </w:p>
    <w:p>
      <w:r>
        <w:t xml:space="preserve">为促进贸易投资便利化，支持实体经济发展，防范跨境资金流动风险，近日，国家外汇管理局发布《关于进一步促进贸易投资便利化完善真实性审核的通知》（《通知》），自发布之日起施行。</w:t>
      </w:r>
    </w:p>
    <w:p>
      <w:r>
        <w:t xml:space="preserve">《通知》要求，进一步扩大银行持有的结售汇头寸下限，银行持有更多负头寸，有利于银行筹集并供给更多的外汇，增强外汇市场自我调节能力。此次调整下限综合考虑了各银行在外汇市场代客、自营和做市交易情况以及市场需求等因素，经测算，调整后头寸下限总计约增加1000亿美元。</w:t>
      </w:r>
    </w:p>
    <w:p>
      <w:r>
        <w:t xml:space="preserve">《通知》还提出，丰富远期结汇交割方式。银行为机构客户办理远期结汇业务，在坚持实需原则前提下，到期交割方式可以自主选择全额或差额结算。远期结汇差额结算的货币和参考价遵照执行期权业务的有关外汇管理规定。</w:t>
      </w:r>
    </w:p>
    <w:p>
      <w:hyperlink r:id="rId31">
        <w:r>
          <w:rPr>
            <w:rStyle w:val="Link"/>
          </w:rPr>
          <w:t xml:space="preserve">来源</w:t>
        </w:r>
      </w:hyperlink>
      <w:r>
        <w:t xml:space="preserve"> </w:t>
      </w:r>
      <w:r>
        <w:t xml:space="preserve">(</w:t>
      </w:r>
      <w:hyperlink r:id="rId32">
        <w:r>
          <w:rPr>
            <w:rStyle w:val="Link"/>
          </w:rPr>
          <w:t xml:space="preserve">副本</w:t>
        </w:r>
      </w:hyperlink>
      <w:r>
        <w:t xml:space="preserve">) (</w:t>
      </w:r>
      <w:hyperlink r:id="rId33">
        <w:r>
          <w:rPr>
            <w:rStyle w:val="Link"/>
          </w:rPr>
          <w:t xml:space="preserve">副本</w:t>
        </w:r>
      </w:hyperlink>
      <w:r>
        <w:t xml:space="preserve">)</w:t>
      </w:r>
    </w:p>
    <w:p>
      <w:pPr>
        <w:pStyle w:val="Heading3"/>
      </w:pPr>
      <w:bookmarkStart w:id="34" w:name="央行在全国实施全口径跨境融资宏观审慎管理"/>
      <w:bookmarkEnd w:id="34"/>
      <w:r>
        <w:t xml:space="preserve">央行在全国实施全口径跨境融资宏观审慎管理</w:t>
      </w:r>
    </w:p>
    <w:p>
      <w:r>
        <w:t xml:space="preserve">近日，中国人民银行发布《在全国范围内实施全口径跨境融资宏观审慎管理的通知》（《通知》），自2016年5月3日起，将本外币一体化的全口径跨境融资宏观审慎管理试点扩大至全国范围内的金融机构和企业。</w:t>
      </w:r>
    </w:p>
    <w:p>
      <w:r>
        <w:t xml:space="preserve">《通知》明确，中国人民银行根据宏观经济热度、国际收支状况和宏观金融调控需要对跨境融资杠杆率、风险转换因子、宏观审慎调节参数等进行调整，并对27家银行类金融机构跨境融资进行宏观审慎管理。国家外汇管理局对企业和除27家银行类金融机构以外的其他金融机构跨境融资进行管理，并对企业和金融机构进行全口径跨境融资统计监测。中国人民银行、国家外汇管理局之间建立信息共享机制。</w:t>
      </w:r>
    </w:p>
    <w:p>
      <w:r>
        <w:t xml:space="preserve">《通知》还提出，对金融机构和企业，中国人民银行和国家外汇管理局不实行外债事前审批，而是由金融机构和企业在与其资本或净资产挂钩的跨境融资上限内，自主开展本外币跨境融资。</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税收"/>
      <w:bookmarkEnd w:id="37"/>
      <w:r>
        <w:t xml:space="preserve">税收</w:t>
      </w:r>
    </w:p>
    <w:p>
      <w:pPr>
        <w:pStyle w:val="Heading3"/>
      </w:pPr>
      <w:bookmarkStart w:id="38" w:name="国务院做好全面推开营改增试点工作"/>
      <w:bookmarkEnd w:id="38"/>
      <w:r>
        <w:t xml:space="preserve">国务院：做好全面推开营改增试点工作</w:t>
      </w:r>
    </w:p>
    <w:p>
      <w:r>
        <w:t xml:space="preserve">近日，国务院下发《关于做好全面推开营改增试点工作的通知》（下称《通知》）。</w:t>
      </w:r>
    </w:p>
    <w:p>
      <w:r>
        <w:t xml:space="preserve">《通知》强调，绝不允许各级政府搞回溯性清税，甚至弄虚作假收过头税，一经发现要依法依规严肃处理，对不应征收的税收必须立即退付给纳税人，超出合理增幅部分的税收要相应扣回。《通知》要求，有关部门要强化监督约谈，禁止个别企业等假借营改增之名刻意曲解政策、趁机涨价谋取不当利益，同时确保全面推开营改增试点后顺利实施调整中央与地方增值税收入划分过渡方案。《通知》还规定，坚决避免违背市场规律的不合理行政干预，不得限制企业跨区域生产经营、操纵企业增加值地区分布，严禁以各种不当手段争夺税源，防止形成地方保护和市场分割，破坏全国统一大市场建设。</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3"/>
      </w:pPr>
      <w:bookmarkStart w:id="41" w:name="国务院过渡期增值税中央与地方五五分成"/>
      <w:bookmarkEnd w:id="41"/>
      <w:r>
        <w:t xml:space="preserve">国务院：过渡期增值税中央与地方五五分成</w:t>
      </w:r>
    </w:p>
    <w:p>
      <w:r>
        <w:t xml:space="preserve">日前，国务院发布《全面推开营改增试点后调整中央与地方增值税收入划分过渡方案》（下称《方案》），相关政策自2016年5月1日执行，过渡期暂定2-3年。</w:t>
      </w:r>
    </w:p>
    <w:p>
      <w:r>
        <w:t xml:space="preserve">《方案》内容包括：一、以2014年为基数核定中央返还和地方上缴基数。二、所有行业企业缴纳的增值税均纳入中央和地方共享范围。三、中央分享增值税的50%。四、地方按税收缴纳地分享增值税的50%。五、中央上划收入通过税收返还方式给地方，确保地方既有财力不变。六、中央集中的收入增量通过均衡性转移支付分配给地方，主要用于加大对中西部地区的支持力度。</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税总局发文明确营改增有关征管问题"/>
      <w:bookmarkEnd w:id="44"/>
      <w:r>
        <w:t xml:space="preserve">国税总局发文明确营改增有关征管问题</w:t>
      </w:r>
    </w:p>
    <w:p>
      <w:r>
        <w:t xml:space="preserve">近日，国税总局下发《关于明确营业税改征增值税有关征管问题的通知》（下称《通知》）。</w:t>
      </w:r>
    </w:p>
    <w:p>
      <w:r>
        <w:t xml:space="preserve">《通知》明确了“委托代征相关职责”、“确定不动产交易计税依据”等四方面问题。其中，根据《通知》，对涉及信息系统改造以及增值税发票使用管理之外的事项，地税机关应全面负责营改增后纳税人销售其取得的不动产和其他个人出租不动产增值税的纳税申报受理、计税价格评估、税款征收、税收优惠备案、发票代开等有关事项。《通知》还规定，营改增后，税务机关在核定计税价格工作中，应继续沿用原二手房评估系统。当纳税人申报的不动产交易成交价格明显偏低时，应首先利用二手房评估系统核定计税价格，在双方有争议无法协调时，再参照第三方中介做出的市场评估价格进行确定。</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证监会发文部署三类机构推进营改增工作"/>
      <w:bookmarkEnd w:id="47"/>
      <w:r>
        <w:t xml:space="preserve">证监会发文部署三类机构推进营改增工作</w:t>
      </w:r>
    </w:p>
    <w:p>
      <w:r>
        <w:t xml:space="preserve">近日，证监会发布《关于证券期货基金经营机构做好营业税改征增值税试点工作的意见》（《意见》），要求在营改增试点中，各类机构向投资者（客户）提供的各种直接收费金融服务，应以不增加投资者成本且让利于市场为原则，做好价税分离工作。</w:t>
      </w:r>
    </w:p>
    <w:p>
      <w:r>
        <w:t xml:space="preserve">《意见》对经营机构营改增提出了加强组织领导及分工协作；加大学习培训力度，确保分层分级分类培训到位；开展业务流程梳理和信息系统改造工作，完善内部制度；做好定价策略调整和合同更新工作；做好增值税发票开具和纳税申报；做好增值税涉税环节的风险管理等六点工作要求。</w:t>
      </w:r>
    </w:p>
    <w:p>
      <w:r>
        <w:t xml:space="preserve">《意见》还要求各类机构在制度转换过程中如遇问题及时向财税部门反映，并报告所在地证监会派出机构，证监会各派出机构也须将辖区内证券期货基金机构营改增准备工作纳入监管与服务范围。</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两部门明确营改增金融业劳务派遣服务等政策"/>
      <w:bookmarkEnd w:id="50"/>
      <w:r>
        <w:t xml:space="preserve">两部门明确营改增金融业、劳务派遣服务等政策</w:t>
      </w:r>
    </w:p>
    <w:p>
      <w:r>
        <w:t xml:space="preserve">近日，财政部、国税总局下发《关于进一步明确全面推开营改增试点有关劳务派遣服务、收费公路通行费抵扣等政策的通知》和《关于进一步明确全面推开营改增试点金融业有关政策的通知》（统称《通知》），自2016年5月1日执行。</w:t>
      </w:r>
    </w:p>
    <w:p>
      <w:r>
        <w:t xml:space="preserve">《通知》规定，一般纳税人提供劳务派遣服务，可按《财政部 国家税务总局关于全面推开营业税改征增值税试点的通知》规定，以取得的全部价款和价外费用为销售额，按一般计税方法计算缴纳增值税；也可选择差额纳税，以取得的全部价款和价外费用，扣除代用工单位支付给劳务派遣员工的工资、福利和为其办理社保及住房公积金后的余额为销售额，按简易计税方法依5%的征收率计算缴纳增值税。《通知》还明确，质押式买入返售金融商品、持有政策性金融债券属金融同业往来利息收入，二者不在增值税征收范围内。</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行业"/>
      <w:bookmarkEnd w:id="53"/>
      <w:r>
        <w:t xml:space="preserve">行业</w:t>
      </w:r>
    </w:p>
    <w:p>
      <w:pPr>
        <w:pStyle w:val="Heading3"/>
      </w:pPr>
      <w:bookmarkStart w:id="54" w:name="交通部公告政府间陆港协定生效"/>
      <w:bookmarkEnd w:id="54"/>
      <w:r>
        <w:t xml:space="preserve">交通部公告《政府间陆港协定》生效</w:t>
      </w:r>
    </w:p>
    <w:p>
      <w:r>
        <w:t xml:space="preserve">近日，交通运输部印发《关于〈政府间陆港协定〉生效的公告》（下称《公告》），并发布了《政府间陆港协定》（下称“协定”）中文版。</w:t>
      </w:r>
    </w:p>
    <w:p>
      <w:r>
        <w:t xml:space="preserve">《公告》称，经国务院批准，我国于2016年3月24日向联合国递交了《政府间陆港协定》核准书，同时声明：“本协定适用于中华人民共和国澳门特别行政区；在另行通知之前，本协定不适用于中华人民共和国香港特别行政区。”协定于2016年4月23日对我生效，同时适用于澳门特区，暂不适用于香港特区。协定包括正文和附件两部分，正文内容涉及陆港的定义、确定和发展以及修订程序及其他一般规定，附件则规定了各国陆港清单以及陆港发展营运指导原则等。</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土部印发不动产权证书和登记证明监制办法"/>
      <w:bookmarkEnd w:id="57"/>
      <w:r>
        <w:t xml:space="preserve">国土部印发不动产权证书和登记证明监制办法</w:t>
      </w:r>
    </w:p>
    <w:p>
      <w:r>
        <w:t xml:space="preserve">日前，国土资源部发布《不动产权证书和登记证明监制办法》（下称《办法》），相关通知有效期为8年。</w:t>
      </w:r>
    </w:p>
    <w:p>
      <w:r>
        <w:t xml:space="preserve">《办法》规定，《不动产权证书》、《不动产登记证明》由国土部统一监制。监制职责包括：发布不动产权证书和登记证明的统一样式，规定不动产权证书和登记证明的印制标准，实行不动产权证书和登记证明印制情况备案，掌握全国不动产权证书和登记证明印制和发行情况；组织印制和发放国务院确定的重点国有林区的森林、林木和林地，国务院批准项目用海、用岛等不动产登记所需的不动产权证书和登记证明。《办法》明确，不动产权证书和登记证明应具有唯一的印制流水号；国土部适时开展印制流水号的号段发放区域、增加少数民族文字的不动产权证书和登记证明样本的网络查询服务，并逐步实现全国联网查询。</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工商总局废止和修改部分工商行政管理规章"/>
      <w:bookmarkEnd w:id="60"/>
      <w:r>
        <w:t xml:space="preserve">工商总局废止和修改部分工商行政管理规章</w:t>
      </w:r>
    </w:p>
    <w:p>
      <w:r>
        <w:t xml:space="preserve">近日，国家工商行政管理总局对现行有效的工商行政管理规章进行了清理，废止了《广告管理条例施行细则》、《工商行政管理暂行规定》、《旅游景区个体工商户监督管理办法》等共10部规章，还对《中华人民共和国企业法人登记管理条例施行细则》、《外商投资企业授权登记管理办法》等共4部规章的部分条款予以修改。</w:t>
      </w:r>
    </w:p>
    <w:p>
      <w:r>
        <w:t xml:space="preserve">其中，对《外国（地区）企业在中国境内从事生产经营活动登记管理办法》作出修改，第二条修改为：“根据国家有关法律、法规的规定，经国务院及国务院授权的主管机关批准，在中国境内从事生产经营活动的外国企业，应向省级工商行政管理部门申请登记注册。外国企业经登记主管机关核准登记注册，领取营业执照后，方可开展生产经营活动。未经审批机关批准和登记主管机关核准登记注册，外国企业不得在中国境内从事生产经营活动。”</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知识产权"/>
      <w:bookmarkEnd w:id="63"/>
      <w:r>
        <w:t xml:space="preserve">知识产权</w:t>
      </w:r>
    </w:p>
    <w:p>
      <w:pPr>
        <w:pStyle w:val="Heading3"/>
      </w:pPr>
      <w:bookmarkStart w:id="64" w:name="国办印发2016打击侵犯知识产权工作要点"/>
      <w:bookmarkEnd w:id="64"/>
      <w:r>
        <w:t xml:space="preserve">国办印发2016打击侵犯知识产权工作要点</w:t>
      </w:r>
    </w:p>
    <w:p>
      <w:r>
        <w:t xml:space="preserve">近日，国务院办公厅发布《2016年全国打击侵犯知识产权和制售假冒伪劣商品工作要点》（下称《要点》）。</w:t>
      </w:r>
    </w:p>
    <w:p>
      <w:r>
        <w:t xml:space="preserve">《要点》明确了7个方面27项重点工作。一是加大对重点领域的治理力度。二是强化行业日常监管。三是加强法规制度建设。四是加强部门协同与司法保护。五是推动打防结合与打建结合。六是开展多样化宣传教育。七是做好多双边协作与交流。其中，《要点》规定，严肃查处制售假药劣药、生产销售不符合国家标准车用燃油、无证出厂销售强制性认证产品等违法行为，开展“防雾霾”商品监督抽查和专项整治；依法查处侵犯知识产权和滥用知识产权等违法行为，加强商业秘密行政保护。《要点》强调，推动反不正当竞争法、著作权法、专利法等法律法规的制订修订工作，健全侵权假冒商品无害化销毁机制。</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2"/>
      </w:pPr>
      <w:bookmarkStart w:id="67" w:name="并购"/>
      <w:bookmarkEnd w:id="67"/>
      <w:r>
        <w:t xml:space="preserve">并购</w:t>
      </w:r>
    </w:p>
    <w:p>
      <w:pPr>
        <w:pStyle w:val="Heading3"/>
      </w:pPr>
      <w:bookmarkStart w:id="68" w:name="均胜电子收购美国evana"/>
      <w:bookmarkEnd w:id="68"/>
      <w:r>
        <w:t xml:space="preserve">均胜电子收购美国EVANA</w:t>
      </w:r>
    </w:p>
    <w:p>
      <w:r>
        <w:t xml:space="preserve">均胜电子5月4日晚公告，公司旗下子公司普瑞伊玛工业自动化及机器人有限公司（简称“PIA”）以1950万美元（约合1.26亿元人民币）购买Phillips Service Industries Inc.（简称“PSI”）持有的EVANA Automation（简称“EVANA”）100%股权和相关知识产权。均胜电子藉此布局北美市场，进一步完善其工业自动化及机器人产业的全球布局。</w:t>
      </w:r>
    </w:p>
    <w:p>
      <w:r>
        <w:t xml:space="preserve">公告显示，EVANA位于美国印第安纳州的伊凡斯维尔，是一家专注于工业机器人和自动化系统的研发、制造和集成，为客户提供定制化工业机器人系统、自动化解决方案和咨询服务的公司。</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2"/>
      </w:pPr>
      <w:bookmarkStart w:id="71" w:name="其他"/>
      <w:bookmarkEnd w:id="71"/>
      <w:r>
        <w:t xml:space="preserve">其他</w:t>
      </w:r>
    </w:p>
    <w:p>
      <w:pPr>
        <w:pStyle w:val="Heading3"/>
      </w:pPr>
      <w:bookmarkStart w:id="72" w:name="国务院暂时调整上海市浦东新区有关行政法规"/>
      <w:bookmarkEnd w:id="72"/>
      <w:r>
        <w:t xml:space="preserve">国务院暂时调整上海市浦东新区有关行政法规</w:t>
      </w:r>
    </w:p>
    <w:p>
      <w:r>
        <w:t xml:space="preserve">近日，国务院发布决定，暂时调整上海市浦东新区有关行政法规，即日起至2018年12月21日，在上海市浦东新区暂时调整《中华人民共和国药品管理法实施条例》、《放射性药品管理办法》、《化妆品卫生监督条例》、《国务院对确需保留的行政审批项目设定行政许可的决定》、《国务院关于第三批取消和调整行政审批项目的决定》、《国务院关于加强出入境中介活动管理的通知》、《国务院关于第六批取消和调整行政审批项目的决定》、《国务院关于取消和调整一批行政审批项目等事项的决定》、《国务院关于对加工贸易进口料件试行银行保证金台帐制度的批复》等共11部行政法规和国务院文件规定的行政审批等事项。</w:t>
      </w:r>
    </w:p>
    <w:p>
      <w:r>
        <w:t xml:space="preserve">决定明确，国务院要求国务院有关部门、上海市人民政府要根据上述调整，及时对本部门、本市制定的规章和规范性文件作相应调整，建立与试点工作相适应的管理制度。</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第499期 - 2016年05月06日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8868b7b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3" Target="3a.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9" Target="http://epaper.stcn.com/paper/zqsb/html/epaper/index/content_821607.htm" TargetMode="External" /><Relationship Type="http://schemas.openxmlformats.org/officeDocument/2006/relationships/hyperlink" Id="rId21" Target="http://www.charltonslaw.com.cn/china-news-alerts-cn-issue-499/" TargetMode="External" /><Relationship Type="http://schemas.openxmlformats.org/officeDocument/2006/relationships/hyperlink" Id="rId51" Target="http://www.chinatax.gov.cn/n810341/n810755/c2113107/content.html" TargetMode="External" /><Relationship Type="http://schemas.openxmlformats.org/officeDocument/2006/relationships/hyperlink" Id="rId28" Target="http://www.csrc.gov.cn/pub/zjhpublic/G00306201/201604/t20160429_296707.htm" TargetMode="External" /><Relationship Type="http://schemas.openxmlformats.org/officeDocument/2006/relationships/hyperlink" Id="rId48" Target="http://www.csrc.gov.cn/pub/zjhpublic/G00306201/201604/t20160429_296708.htm" TargetMode="External" /><Relationship Type="http://schemas.openxmlformats.org/officeDocument/2006/relationships/hyperlink" Id="rId39" Target="http://www.gov.cn/zhengce/content/2016-04/30/content_5069485.htm" TargetMode="External" /><Relationship Type="http://schemas.openxmlformats.org/officeDocument/2006/relationships/hyperlink" Id="rId42" Target="http://www.gov.cn/zhengce/content/2016-04/30/content_5069490.htm" TargetMode="External" /><Relationship Type="http://schemas.openxmlformats.org/officeDocument/2006/relationships/hyperlink" Id="rId65" Target="http://www.gov.cn/zhengce/content/2016-05/04/content_5070227.htm" TargetMode="External" /><Relationship Type="http://schemas.openxmlformats.org/officeDocument/2006/relationships/hyperlink" Id="rId73" Target="http://www.gov.cn/zhengce/content/2016-05/05/content_5070314.htm" TargetMode="External" /><Relationship Type="http://schemas.openxmlformats.org/officeDocument/2006/relationships/hyperlink" Id="rId58" Target="http://www.mlr.gov.cn/zwgk/zytz/201605/t20160503_1404218.htm" TargetMode="External" /><Relationship Type="http://schemas.openxmlformats.org/officeDocument/2006/relationships/hyperlink" Id="rId35" Target="http://www.pbc.gov.cn/goutongjiaoliu/113456/113469/3056127/index.html" TargetMode="External" /><Relationship Type="http://schemas.openxmlformats.org/officeDocument/2006/relationships/hyperlink" Id="rId25" Target="http://www.pbc.gov.cn/goutongjiaoliu/113456/113469/3056791/index.html" TargetMode="External" /><Relationship Type="http://schemas.openxmlformats.org/officeDocument/2006/relationships/hyperlink" Id="rId31" Target="http://www.safe.gov.cn/resources/wcmpages//wps/wcm/connect/safe_web_store/safe_web/zcfg/zhfg/qt/node_zcfg_qt_store/3f9f52004c93e6ab9ab8bf208dd2212f/" TargetMode="External" /><Relationship Type="http://schemas.openxmlformats.org/officeDocument/2006/relationships/hyperlink" Id="rId61" Target="http://www.saic.gov.cn/zwgk/zyfb/zjl/xxzx/201605/t20160505_168343.html" TargetMode="External" /><Relationship Type="http://schemas.openxmlformats.org/officeDocument/2006/relationships/hyperlink" Id="rId45" Target="http://www.zhongxiang.gov.cn/html/zhuantilanmu/jjygz/zcfg/2016/0503/25977.html" TargetMode="External" /><Relationship Type="http://schemas.openxmlformats.org/officeDocument/2006/relationships/hyperlink" Id="rId55" Target="http://zizhan.mot.gov.cn/zfxxgk/bnssj/gjhzs/201605/t20160504_2022196.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6" Target="13.pdf" TargetMode="External" /><Relationship Type="http://schemas.openxmlformats.org/officeDocument/2006/relationships/hyperlink" Id="rId70"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3" Target="3a.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69" Target="http://epaper.stcn.com/paper/zqsb/html/epaper/index/content_821607.htm" TargetMode="External" /><Relationship Type="http://schemas.openxmlformats.org/officeDocument/2006/relationships/hyperlink" Id="rId21" Target="http://www.charltonslaw.com.cn/china-news-alerts-cn-issue-499/" TargetMode="External" /><Relationship Type="http://schemas.openxmlformats.org/officeDocument/2006/relationships/hyperlink" Id="rId51" Target="http://www.chinatax.gov.cn/n810341/n810755/c2113107/content.html" TargetMode="External" /><Relationship Type="http://schemas.openxmlformats.org/officeDocument/2006/relationships/hyperlink" Id="rId28" Target="http://www.csrc.gov.cn/pub/zjhpublic/G00306201/201604/t20160429_296707.htm" TargetMode="External" /><Relationship Type="http://schemas.openxmlformats.org/officeDocument/2006/relationships/hyperlink" Id="rId48" Target="http://www.csrc.gov.cn/pub/zjhpublic/G00306201/201604/t20160429_296708.htm" TargetMode="External" /><Relationship Type="http://schemas.openxmlformats.org/officeDocument/2006/relationships/hyperlink" Id="rId39" Target="http://www.gov.cn/zhengce/content/2016-04/30/content_5069485.htm" TargetMode="External" /><Relationship Type="http://schemas.openxmlformats.org/officeDocument/2006/relationships/hyperlink" Id="rId42" Target="http://www.gov.cn/zhengce/content/2016-04/30/content_5069490.htm" TargetMode="External" /><Relationship Type="http://schemas.openxmlformats.org/officeDocument/2006/relationships/hyperlink" Id="rId65" Target="http://www.gov.cn/zhengce/content/2016-05/04/content_5070227.htm" TargetMode="External" /><Relationship Type="http://schemas.openxmlformats.org/officeDocument/2006/relationships/hyperlink" Id="rId73" Target="http://www.gov.cn/zhengce/content/2016-05/05/content_5070314.htm" TargetMode="External" /><Relationship Type="http://schemas.openxmlformats.org/officeDocument/2006/relationships/hyperlink" Id="rId58" Target="http://www.mlr.gov.cn/zwgk/zytz/201605/t20160503_1404218.htm" TargetMode="External" /><Relationship Type="http://schemas.openxmlformats.org/officeDocument/2006/relationships/hyperlink" Id="rId35" Target="http://www.pbc.gov.cn/goutongjiaoliu/113456/113469/3056127/index.html" TargetMode="External" /><Relationship Type="http://schemas.openxmlformats.org/officeDocument/2006/relationships/hyperlink" Id="rId25" Target="http://www.pbc.gov.cn/goutongjiaoliu/113456/113469/3056791/index.html" TargetMode="External" /><Relationship Type="http://schemas.openxmlformats.org/officeDocument/2006/relationships/hyperlink" Id="rId31" Target="http://www.safe.gov.cn/resources/wcmpages//wps/wcm/connect/safe_web_store/safe_web/zcfg/zhfg/qt/node_zcfg_qt_store/3f9f52004c93e6ab9ab8bf208dd2212f/" TargetMode="External" /><Relationship Type="http://schemas.openxmlformats.org/officeDocument/2006/relationships/hyperlink" Id="rId61" Target="http://www.saic.gov.cn/zwgk/zyfb/zjl/xxzx/201605/t20160505_168343.html" TargetMode="External" /><Relationship Type="http://schemas.openxmlformats.org/officeDocument/2006/relationships/hyperlink" Id="rId45" Target="http://www.zhongxiang.gov.cn/html/zhuantilanmu/jjygz/zcfg/2016/0503/25977.html" TargetMode="External" /><Relationship Type="http://schemas.openxmlformats.org/officeDocument/2006/relationships/hyperlink" Id="rId55" Target="http://zizhan.mot.gov.cn/zfxxgk/bnssj/gjhzs/201605/t20160504_2022196.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第499期 - 2016年05月06日</dc:title>
  <dc:creator/>
</cp:coreProperties>
</file>