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第501期</w:t>
      </w:r>
      <w:r>
        <w:t xml:space="preserve"> </w:t>
      </w:r>
      <w:r>
        <w:t xml:space="preserve">-</w:t>
      </w:r>
      <w:r>
        <w:t xml:space="preserve"> </w:t>
      </w:r>
      <w:r>
        <w:t xml:space="preserve">2016年05月23日</w:t>
      </w:r>
    </w:p>
    <w:p>
      <w:hyperlink r:id="rId21">
        <w:r>
          <w:rPr>
            <w:rStyle w:val="Link"/>
          </w:rPr>
          <w:t xml:space="preserve">网络版</w:t>
        </w:r>
      </w:hyperlink>
    </w:p>
    <w:p>
      <w:pPr>
        <w:pStyle w:val="Heading1"/>
      </w:pPr>
      <w:bookmarkStart w:id="22" w:name="中国法讯第501期"/>
      <w:bookmarkEnd w:id="22"/>
      <w:r>
        <w:t xml:space="preserve">中国法讯第501期</w:t>
      </w:r>
    </w:p>
    <w:p>
      <w:pPr>
        <w:pStyle w:val="Heading2"/>
      </w:pPr>
      <w:bookmarkStart w:id="23" w:name="资本市场"/>
      <w:bookmarkEnd w:id="23"/>
      <w:r>
        <w:t xml:space="preserve">资本市场</w:t>
      </w:r>
    </w:p>
    <w:p>
      <w:pPr>
        <w:pStyle w:val="Heading3"/>
      </w:pPr>
      <w:bookmarkStart w:id="24" w:name="证监会发布公司债券半年报准则及相关补充规定"/>
      <w:bookmarkEnd w:id="24"/>
      <w:r>
        <w:t xml:space="preserve">证监会发布《公司债券半年报准则》及相关补充规定</w:t>
      </w:r>
    </w:p>
    <w:p>
      <w:r>
        <w:t xml:space="preserve">近日，证监会发布了《公开发行证券的公司信息披露内容与格式准则第39号——公司债券半年度报告的内容与格式》（以下简称《准则》），以及《关于公开发行公司债券的上市公司半年度报告披露的补充规定》（以下简称《规定》）。</w:t>
      </w:r>
    </w:p>
    <w:p>
      <w:r>
        <w:t xml:space="preserve">《准则》共四章五十条。第一章总则规定了制定依据、适用范围、半年报编制和披露的总体要求等。第二章半年度报告正文，规定了半年度报告的核心内容和要求，包括公司和相关中介机构简介、公司债券事项、财务和资产情况、业务和公司治理情况、重大事项、财务报告、备查文件目录等。第三章半年度报告摘要，规定了半年度报告摘要的内容与格式。第四章附则对一些概念进行了说明。</w:t>
      </w:r>
    </w:p>
    <w:p>
      <w:r>
        <w:t xml:space="preserve">《规定》明确了公开发行公司债券的上市公司应在半年度报告中以专门章节披露“公司债券相关情况”，并明确了披露内容和要求。新三板挂牌公司将由全国股转公司另行发布披露的内容与格式要求。</w:t>
      </w:r>
    </w:p>
    <w:p>
      <w:hyperlink r:id="rId25">
        <w:r>
          <w:rPr>
            <w:rStyle w:val="Link"/>
          </w:rPr>
          <w:t xml:space="preserve">来源</w:t>
        </w:r>
      </w:hyperlink>
      <w:r>
        <w:t xml:space="preserve"> </w:t>
      </w:r>
      <w:r>
        <w:t xml:space="preserve">(</w:t>
      </w:r>
      <w:hyperlink r:id="rId26">
        <w:r>
          <w:rPr>
            <w:rStyle w:val="Link"/>
          </w:rPr>
          <w:t xml:space="preserve">副本</w:t>
        </w:r>
      </w:hyperlink>
      <w:r>
        <w:t xml:space="preserve">) (</w:t>
      </w:r>
      <w:hyperlink r:id="rId27">
        <w:r>
          <w:rPr>
            <w:rStyle w:val="Link"/>
          </w:rPr>
          <w:t xml:space="preserve">副本</w:t>
        </w:r>
      </w:hyperlink>
      <w:r>
        <w:t xml:space="preserve">)</w:t>
      </w:r>
    </w:p>
    <w:p>
      <w:pPr>
        <w:pStyle w:val="Heading3"/>
      </w:pPr>
      <w:bookmarkStart w:id="28" w:name="银监会规范商业银行代理销售业务"/>
      <w:bookmarkEnd w:id="28"/>
      <w:r>
        <w:t xml:space="preserve">银监会规范商业银行代理销售业务</w:t>
      </w:r>
    </w:p>
    <w:p>
      <w:r>
        <w:t xml:space="preserve">为进一步规范商业银行代理销售行为，保护投资者合法权益，银监会近日印发《关于规范商业银行代理销售业务的通知》（《通知》）。</w:t>
      </w:r>
    </w:p>
    <w:p>
      <w:r>
        <w:t xml:space="preserve">《通知》分为基本原则、代销业务内部管理制度、合作机构管理、代销产品准入管理、销售管理、信息披露与保密管理及监督管理7个部分，共40条。</w:t>
      </w:r>
    </w:p>
    <w:p>
      <w:r>
        <w:t xml:space="preserve">《通知》明确，开展代销业务应当遵守依法合规、符合代销有关金融产品资质要求、加强投资者适当性管理以及在代销业务与其他业务之间建立风险隔离制度等四项原则。商业银行只能代销由银监会、证监会和保监会依法实施监督管理、持有金融牌照的金融机构发行的金融产品，不得代销该范围以外的机构发行的产品，政府债券、实物贵金属和银监会另有规定的除外。</w:t>
      </w:r>
    </w:p>
    <w:p>
      <w:hyperlink r:id="rId29">
        <w:r>
          <w:rPr>
            <w:rStyle w:val="Link"/>
          </w:rPr>
          <w:t xml:space="preserve">来源</w:t>
        </w:r>
      </w:hyperlink>
      <w:r>
        <w:t xml:space="preserve"> </w:t>
      </w:r>
      <w:r>
        <w:t xml:space="preserve">(</w:t>
      </w:r>
      <w:hyperlink r:id="rId30">
        <w:r>
          <w:rPr>
            <w:rStyle w:val="Link"/>
          </w:rPr>
          <w:t xml:space="preserve">副本</w:t>
        </w:r>
      </w:hyperlink>
      <w:r>
        <w:t xml:space="preserve">)</w:t>
      </w:r>
    </w:p>
    <w:p>
      <w:pPr>
        <w:pStyle w:val="Heading3"/>
      </w:pPr>
      <w:bookmarkStart w:id="31" w:name="两部委重新核发银监会证监会保监会监管费等收费标准"/>
      <w:bookmarkEnd w:id="31"/>
      <w:r>
        <w:t xml:space="preserve">两部委重新核发银监会证监会保监会监管费等收费标准</w:t>
      </w:r>
    </w:p>
    <w:p>
      <w:r>
        <w:t xml:space="preserve">近日，国家发展改革委和财政部发布《关于重新核发银监会证监会保监会监管费等收费标准的通知》（《通知》），按照总体不增加被监管单位负担的原则，重新审核了银监会、证监会和保监会监管费等收费标准。</w:t>
      </w:r>
    </w:p>
    <w:p>
      <w:r>
        <w:t xml:space="preserve">《通知》指出，银监会、证监会和保监会监管费收费项目主要包括机构监管费和业务监管费。证监会和保监会收费项目还包括相关从业人员资格考试费。</w:t>
      </w:r>
    </w:p>
    <w:p>
      <w:r>
        <w:t xml:space="preserve">《通知》强调，银监会、证监会的监管费收费标准自2015年1月1日起执行；保监会的监管费收费标准自2014年1月1日起执行；有效期均截至2017年12月31日。有效期满后，相关收费单位向国家发展改革委、财政部重新申报收费标准。</w:t>
      </w:r>
    </w:p>
    <w:p>
      <w:hyperlink r:id="rId32">
        <w:r>
          <w:rPr>
            <w:rStyle w:val="Link"/>
          </w:rPr>
          <w:t xml:space="preserve">来源</w:t>
        </w:r>
      </w:hyperlink>
      <w:r>
        <w:t xml:space="preserve"> </w:t>
      </w:r>
      <w:r>
        <w:t xml:space="preserve">(</w:t>
      </w:r>
      <w:hyperlink r:id="rId33">
        <w:r>
          <w:rPr>
            <w:rStyle w:val="Link"/>
          </w:rPr>
          <w:t xml:space="preserve">副本</w:t>
        </w:r>
      </w:hyperlink>
      <w:r>
        <w:t xml:space="preserve">) (</w:t>
      </w:r>
      <w:hyperlink r:id="rId34">
        <w:r>
          <w:rPr>
            <w:rStyle w:val="Link"/>
          </w:rPr>
          <w:t xml:space="preserve">副本</w:t>
        </w:r>
      </w:hyperlink>
      <w:r>
        <w:t xml:space="preserve">) (</w:t>
      </w:r>
      <w:hyperlink r:id="rId35">
        <w:r>
          <w:rPr>
            <w:rStyle w:val="Link"/>
          </w:rPr>
          <w:t xml:space="preserve">副本</w:t>
        </w:r>
      </w:hyperlink>
      <w:r>
        <w:t xml:space="preserve">) (</w:t>
      </w:r>
      <w:hyperlink r:id="rId36">
        <w:r>
          <w:rPr>
            <w:rStyle w:val="Link"/>
          </w:rPr>
          <w:t xml:space="preserve">副本</w:t>
        </w:r>
      </w:hyperlink>
      <w:r>
        <w:t xml:space="preserve">)</w:t>
      </w:r>
    </w:p>
    <w:p>
      <w:pPr>
        <w:pStyle w:val="Heading2"/>
      </w:pPr>
      <w:bookmarkStart w:id="37" w:name="保险"/>
      <w:bookmarkEnd w:id="37"/>
      <w:r>
        <w:t xml:space="preserve">保险</w:t>
      </w:r>
    </w:p>
    <w:p>
      <w:pPr>
        <w:pStyle w:val="Heading3"/>
      </w:pPr>
      <w:bookmarkStart w:id="38" w:name="城乡居民住宅地震巨灾险出台"/>
      <w:bookmarkEnd w:id="38"/>
      <w:r>
        <w:t xml:space="preserve">城乡居民住宅地震巨灾险出台</w:t>
      </w:r>
    </w:p>
    <w:p>
      <w:r>
        <w:t xml:space="preserve">日前，保监会、财政部印发《建立城乡居民住宅地震巨灾保险制度实施方案》（《方案》）。</w:t>
      </w:r>
    </w:p>
    <w:p>
      <w:r>
        <w:t xml:space="preserve">根据《方案》，住宅地震巨灾保险产品将以城乡居民住宅为保障对象，以破坏性地震震动及其引起的海啸、火灾、爆炸、地陷、泥石流及滑坡等次生灾害为主要保险责任。运行初期，保险金额按城镇居民住宅基本保额每户5万元，农村居民住宅基本保额每户2万元确定。具体保额可根据需要与保险公司协商，但保险金额最高不超过100万元，超过部分可由保险公司提供商业保险补充。理赔时，以保险金额为准，并根据破坏等级分档理赔。</w:t>
      </w:r>
    </w:p>
    <w:p>
      <w:r>
        <w:t xml:space="preserve">为顺利推进《实施方案》落实，前期，45家财产保险公司根据“自愿参与、风险共担”的原则发起成立中国城乡居民住宅地震巨灾保险共同体，整合行业承保能力，搭建业务平台，建立承保理赔标准，共同应对地震灾害。</w:t>
      </w:r>
    </w:p>
    <w:p>
      <w:hyperlink r:id="rId39">
        <w:r>
          <w:rPr>
            <w:rStyle w:val="Link"/>
          </w:rPr>
          <w:t xml:space="preserve">来源</w:t>
        </w:r>
      </w:hyperlink>
      <w:r>
        <w:t xml:space="preserve"> </w:t>
      </w:r>
      <w:r>
        <w:t xml:space="preserve">(</w:t>
      </w:r>
      <w:hyperlink r:id="rId40">
        <w:r>
          <w:rPr>
            <w:rStyle w:val="Link"/>
          </w:rPr>
          <w:t xml:space="preserve">副本</w:t>
        </w:r>
      </w:hyperlink>
      <w:r>
        <w:t xml:space="preserve">)</w:t>
      </w:r>
    </w:p>
    <w:p>
      <w:pPr>
        <w:pStyle w:val="Heading2"/>
      </w:pPr>
      <w:bookmarkStart w:id="41" w:name="税收"/>
      <w:bookmarkEnd w:id="41"/>
      <w:r>
        <w:t xml:space="preserve">税收</w:t>
      </w:r>
    </w:p>
    <w:p>
      <w:pPr>
        <w:pStyle w:val="Heading3"/>
      </w:pPr>
      <w:bookmarkStart w:id="42" w:name="两部门十三五期间进口种子种源免征进口环节增值税"/>
      <w:bookmarkEnd w:id="42"/>
      <w:r>
        <w:t xml:space="preserve">两部门：十三五期间进口种子种源免征进口环节增值税</w:t>
      </w:r>
    </w:p>
    <w:p>
      <w:r>
        <w:t xml:space="preserve">日前，财政部、国税总局发布《关于“十三五”期间进口种子种源税收政策的通知》（下称《通知》），政策有效期为2016年1月1日至2020年12月31日。</w:t>
      </w:r>
    </w:p>
    <w:p>
      <w:r>
        <w:t xml:space="preserve">《通知》所规定的免税品种包括：一、与农林业生产密切相关并直接用于或服务于农林业生产的进口种子（苗）、种畜（禽）和鱼种（苗），以及具备研究和培育繁殖条件的动植物科研院所、动物园、专业动植物保护单位、养殖场和种植园进口的用于科研、育种、繁殖的野生动植物种源。二、军队、武警、公安、安全部门（含缉私警察）进口的警用工作犬以及进口的繁育用的工作犬精液及胚胎。《通知》还明确，种子种源进口单位应向产业主管部门提出进口计划，并在核定的年度免税范围内，按有关规定向海关申请办理免税手续。</w:t>
      </w:r>
    </w:p>
    <w:p>
      <w:hyperlink r:id="rId43">
        <w:r>
          <w:rPr>
            <w:rStyle w:val="Link"/>
          </w:rPr>
          <w:t xml:space="preserve">来源</w:t>
        </w:r>
      </w:hyperlink>
      <w:r>
        <w:t xml:space="preserve"> </w:t>
      </w:r>
      <w:r>
        <w:t xml:space="preserve">(</w:t>
      </w:r>
      <w:hyperlink r:id="rId44">
        <w:r>
          <w:rPr>
            <w:rStyle w:val="Link"/>
          </w:rPr>
          <w:t xml:space="preserve">副本</w:t>
        </w:r>
      </w:hyperlink>
      <w:r>
        <w:t xml:space="preserve">) (</w:t>
      </w:r>
      <w:hyperlink r:id="rId45">
        <w:r>
          <w:rPr>
            <w:rStyle w:val="Link"/>
          </w:rPr>
          <w:t xml:space="preserve">副本</w:t>
        </w:r>
      </w:hyperlink>
      <w:r>
        <w:t xml:space="preserve">)</w:t>
      </w:r>
    </w:p>
    <w:p>
      <w:pPr>
        <w:pStyle w:val="Heading2"/>
      </w:pPr>
      <w:bookmarkStart w:id="46" w:name="行业"/>
      <w:bookmarkEnd w:id="46"/>
      <w:r>
        <w:t xml:space="preserve">行业</w:t>
      </w:r>
    </w:p>
    <w:p>
      <w:pPr>
        <w:pStyle w:val="Heading3"/>
      </w:pPr>
      <w:bookmarkStart w:id="47" w:name="财政部制发工业企业结构调整专项奖补资金管理办法"/>
      <w:bookmarkEnd w:id="47"/>
      <w:r>
        <w:t xml:space="preserve">财政部制发工业企业结构调整专项奖补资金管理办法</w:t>
      </w:r>
    </w:p>
    <w:p>
      <w:r>
        <w:t xml:space="preserve">近日，财政部印发《工业企业结构调整专项奖补资金管理办法》（下称《办法》），自发布之日施行。</w:t>
      </w:r>
    </w:p>
    <w:p>
      <w:r>
        <w:t xml:space="preserve">按照党中央、国务院决策部署，中央财政安排1000亿元专项奖补资金支持化解过剩产能。对此，《办法》明确，相关资金用于对地方和中央企业化解钢铁、煤炭行业过剩产能工作奖补。鼓励地方政府、企业和银行及其他债权人综合运用兼并重组、债务重组和破产清算等方式，实现市场出清。《办法》还规定将实行梯级奖补，其中，基础奖补资金占资金总规模的80%，结合退出产能任务量、需安置职工人数等按因素法分配；梯级奖补资金占资金总规模的20%，和各省份、中央企业化解过剩产能任务完成情况挂钩，对超额完成目标任务量的省份、中央企业，按基础奖补资金的一定系数实行梯级奖补。</w:t>
      </w:r>
    </w:p>
    <w:p>
      <w:hyperlink r:id="rId48">
        <w:r>
          <w:rPr>
            <w:rStyle w:val="Link"/>
          </w:rPr>
          <w:t xml:space="preserve">来源</w:t>
        </w:r>
      </w:hyperlink>
      <w:r>
        <w:t xml:space="preserve"> </w:t>
      </w:r>
      <w:r>
        <w:t xml:space="preserve">(</w:t>
      </w:r>
      <w:hyperlink r:id="rId49">
        <w:r>
          <w:rPr>
            <w:rStyle w:val="Link"/>
          </w:rPr>
          <w:t xml:space="preserve">副本</w:t>
        </w:r>
      </w:hyperlink>
      <w:r>
        <w:t xml:space="preserve">) (</w:t>
      </w:r>
      <w:hyperlink r:id="rId50">
        <w:r>
          <w:rPr>
            <w:rStyle w:val="Link"/>
          </w:rPr>
          <w:t xml:space="preserve">副本</w:t>
        </w:r>
      </w:hyperlink>
      <w:r>
        <w:t xml:space="preserve">)</w:t>
      </w:r>
    </w:p>
    <w:p>
      <w:pPr>
        <w:pStyle w:val="Heading3"/>
      </w:pPr>
      <w:bookmarkStart w:id="51" w:name="广电总局修改电视剧内容管理规定等五规章"/>
      <w:bookmarkEnd w:id="51"/>
      <w:r>
        <w:t xml:space="preserve">广电总局修改电视剧内容管理规定等五规章</w:t>
      </w:r>
    </w:p>
    <w:p>
      <w:r>
        <w:t xml:space="preserve">日前，国家新闻出版广电总局发布《关于修改部分规章的决定》（下称《决定》），对《电视剧内容管理规定》等五部规章进行了修改，自发布之日施行。</w:t>
      </w:r>
    </w:p>
    <w:p>
      <w:r>
        <w:t xml:space="preserve">《决定》删去《中外合作摄制电影片管理规定》第九条第五项中的“底样片冲洗及后期制作地点”；删去第十八条，相应调整之后各条序号；将第四条中的“国家广播电影电视总局（以下简称广电总局）”以及第九条、第十条、第十三条、第十五条、第十六条、第十七条、原第十九条中的“广电总局”，修改为“国务院广播影视行政部门”。《决定》删去《电视剧内容管理规定》第十九条第二项，相应调整之后各项序号；将第二十一条第一项修改为：“审查本行政区域内制作机构制作的国产剧。”；删去第二十一条第二项，相应调整之后各项序号。</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国办发文促进通用航空业发展"/>
      <w:bookmarkEnd w:id="54"/>
      <w:r>
        <w:t xml:space="preserve">国办发文促进通用航空业发展</w:t>
      </w:r>
    </w:p>
    <w:p>
      <w:r>
        <w:t xml:space="preserve">近日，国务院办公厅下发《关于促进通用航空业发展的指导意见》（下称《意见》）。</w:t>
      </w:r>
    </w:p>
    <w:p>
      <w:r>
        <w:t xml:space="preserve">《意见》提出，到2020年，建成500个以上通用机场，基本实现地级以上城市拥有通用机场或兼顾通用航空服务的运输机场，覆盖农产品主产区、主要林区、50%以上的5A级旅游景区。通用航空器达到5000架以上，年飞行量200万小时以上，培育一批具有市场竞争力的通用航空企业等。为此，《意见》确立“培育通用航空市场”等五方面任务。其中，《意见》明确，强化通用航空交通服务功能，发展短途运输，满足偏远地区、地面交通不便地区人民群众的基本出行需求；鼓励发展公务航空，适应个性化、高效率的出行需求。建立跨部门、跨领域的通用航空联合监管机制，在方便通用航空飞行活动的同时，加强安全监管能力建设和执法力度。</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四部门推动文化文物单位文化创意产品开发"/>
      <w:bookmarkEnd w:id="57"/>
      <w:r>
        <w:t xml:space="preserve">四部门推动文化文物单位文化创意产品开发</w:t>
      </w:r>
    </w:p>
    <w:p>
      <w:r>
        <w:t xml:space="preserve">近日，文化部、国家发展改革委、财政部、国家文物局联合印发《关于推动文化文物单位文化创意产品开发的若干意见》（《意见》）。</w:t>
      </w:r>
    </w:p>
    <w:p>
      <w:r>
        <w:t xml:space="preserve">《意见》指出，主要任务方面，充分调动文化文物单位积极性，发挥各类市场主体作用，加强文化资源梳理与共享，提升文化创意产品开发水平，完善文化创意产品营销体系，加强文化创意品牌建设和保护，促进文化创意产品开发的跨界融合等七方面内容。</w:t>
      </w:r>
    </w:p>
    <w:p>
      <w:r>
        <w:t xml:space="preserve">《意见》指出，推动文化创意产品开发，要始终把社会效益放在首位，实现社会效益和经济效益相统一；要在履行好公益服务职能、确保文化资源保护传承的前提下，调动文化文物单位积极性，加强文化资源系统梳理和合理开发利用；要鼓励和引导社会力量参与，促进优秀文化资源实现传承、传播和共享；要充分运用创意和科技手段，注意与产业发展相结合。</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工信部制发工业节能管理办法"/>
      <w:bookmarkEnd w:id="60"/>
      <w:r>
        <w:t xml:space="preserve">工信部制发《工业节能管理办法》</w:t>
      </w:r>
    </w:p>
    <w:p>
      <w:r>
        <w:t xml:space="preserve">日前，工信部下发《工业节能管理办法》（下称《办法》），自2016年6月30日施行。</w:t>
      </w:r>
    </w:p>
    <w:p>
      <w:r>
        <w:t xml:space="preserve">《办法》共七章四十二条，主要规定了工业节能的概念和管理职责、节能管理、节能监察、工业企业节能以及重点用能工业企业节能等内容。《办法》明确了工业企业的节能要求，包括：加强节能工作组织领导，建立健全能源管理制度；完善节能目标考核奖惩制度；对能源消耗实行分级分类计量；禁止购买、使用和生产明令淘汰的用能产品和设备；定期对员工进行节能教育培训等。另外，《办法》还规定了重点用能工业企业的范围，并对其设立能源管理岗位、开展能源审计、报送能源利用状况报告、履行企业社会责任、开展能效对标达标、能源管理信息化等进行了规范。</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国办发文促进建材工业稳增长调结构增效益"/>
      <w:bookmarkEnd w:id="63"/>
      <w:r>
        <w:t xml:space="preserve">国办发文促进建材工业稳增长调结构增效益</w:t>
      </w:r>
    </w:p>
    <w:p>
      <w:r>
        <w:t xml:space="preserve">近日，国务院办公厅印发《关于促进建材工业稳增长调结构增效益的指导意见》（下称《意见》）。</w:t>
      </w:r>
    </w:p>
    <w:p>
      <w:r>
        <w:t xml:space="preserve">《意见》提出，到2020年，再压减一批水泥熟料、平板玻璃产能，产能利用率回到合理区间；水泥熟料、平板玻璃产量排名前10家企业的生产集中度达60%左右等。《意见》要求，通过多种形式压减过剩产能：一是严禁新增产能；二是淘汰落后产能；三是推进联合重组；四是推行错峰生产。其中，《意见》明确，2020年底前，严禁备案和新建扩大产能的水泥熟料、平板玻璃建设项目；2017年底前，暂停实际控制人不同的企业间的水泥熟料、平板玻璃产能置换，对违规建设严肃查处。支持优势企业搭建产能整合平台，利用市场化手段推进联合重组，整合产权或经营权，优化产能布局，提高生产集中度。</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2"/>
      </w:pPr>
      <w:bookmarkStart w:id="66" w:name="并购"/>
      <w:bookmarkEnd w:id="66"/>
      <w:r>
        <w:t xml:space="preserve">并购</w:t>
      </w:r>
    </w:p>
    <w:p>
      <w:pPr>
        <w:pStyle w:val="Heading3"/>
      </w:pPr>
      <w:bookmarkStart w:id="67" w:name="美的集团拟292亿元增持德国库卡"/>
      <w:bookmarkEnd w:id="67"/>
      <w:r>
        <w:t xml:space="preserve">美的集团拟292亿元增持德国库卡</w:t>
      </w:r>
    </w:p>
    <w:p>
      <w:r>
        <w:t xml:space="preserve">美的集团5月18日公告，公司拟要约收购全球四大机器人巨头之一德国库卡集团30%以上股份，预计交易总额约合292亿元。</w:t>
      </w:r>
    </w:p>
    <w:p>
      <w:r>
        <w:t xml:space="preserve">根据国际机器人联合会（IFR）2015年统计， 库卡机器人在汽车制造领域的市场份额全球第一。目前库卡集团全部发行在外的普通股为3977.55万股，美的集团持有库卡集团约13.5%的股份。去年库卡营业收入达到29.66亿欧元，毛利6.98亿欧元，资产负债率同比下降至69%。</w:t>
      </w:r>
    </w:p>
    <w:p>
      <w:r>
        <w:t xml:space="preserve">美的集团董事长兼总裁方洪波表示，美的将增加在库卡的持股比例，但会保持库卡的独立性，尚不打算订立控制协议或使其退市，并促进两家公司在中国市场的增长。</w:t>
      </w:r>
    </w:p>
    <w:p>
      <w:hyperlink r:id="rId68">
        <w:r>
          <w:rPr>
            <w:rStyle w:val="Link"/>
          </w:rPr>
          <w:t xml:space="preserve">来源</w:t>
        </w:r>
      </w:hyperlink>
      <w:r>
        <w:t xml:space="preserve"> </w:t>
      </w:r>
      <w:r>
        <w:t xml:space="preserve">(</w:t>
      </w:r>
      <w:hyperlink r:id="rId69">
        <w:r>
          <w:rPr>
            <w:rStyle w:val="Link"/>
          </w:rPr>
          <w:t xml:space="preserve">副本</w:t>
        </w:r>
      </w:hyperlink>
      <w:r>
        <w:t xml:space="preserve">)</w:t>
      </w:r>
    </w:p>
    <w:p>
      <w:pPr>
        <w:pStyle w:val="Heading3"/>
      </w:pPr>
      <w:bookmarkStart w:id="70" w:name="王子新材拟50亿元收购飞流九天"/>
      <w:bookmarkEnd w:id="70"/>
      <w:r>
        <w:t xml:space="preserve">王子新材拟50亿元收购飞流九天</w:t>
      </w:r>
    </w:p>
    <w:p>
      <w:r>
        <w:t xml:space="preserve">王子新材5月17日晚间公告，公司拟向交易对方以33.37元/股发行5264万股，并支付现金32.44亿元，作价50亿元收购北京飞流九天科技有限公司100%股权。</w:t>
      </w:r>
    </w:p>
    <w:p>
      <w:r>
        <w:t xml:space="preserve">同时，公司拟以33.37元/股非公开发行股份，募集配套资金总额不超过36.44亿元，用于支付本次重组现金对价、支付本次重组交易税费及补充飞流九天流动资金。</w:t>
      </w:r>
    </w:p>
    <w:p>
      <w:r>
        <w:t xml:space="preserve">据介绍，飞流九天是集研发与发行运营于一体、拥有自有移动营销平台的移动游戏发行运营商和专业的移动互联网营销服务提供商。</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3"/>
      </w:pPr>
      <w:bookmarkStart w:id="73" w:name="阳光股份拟收购体奥动力"/>
      <w:bookmarkEnd w:id="73"/>
      <w:r>
        <w:t xml:space="preserve">阳光股份拟收购体奥动力</w:t>
      </w:r>
    </w:p>
    <w:p>
      <w:r>
        <w:t xml:space="preserve">5月17日晚间，阳光股份公告显示，阳光股份正在筹划发行股份购买华人文化有限责任公司旗下体奥动力（北京）体育传播有限公司的股权；同时，募集配套资金总额不超过发行股份购买资产交易金额的100%。具体交易方式、重组方案等仍在探讨中。</w:t>
      </w:r>
    </w:p>
    <w:p>
      <w:r>
        <w:t xml:space="preserve">体奥动力在媒体版权销售领域有十多年经验，拥有中国足球几乎所有核心版权资源。2015年9月，体奥动力80亿元拿下中超联赛5年全媒体版权。体奥动力前身为北京华奥星空体育传播有限公司，与中超、亚足联以及国际足联都有过合作。</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Heading3"/>
      </w:pPr>
      <w:bookmarkStart w:id="76" w:name="陆家嘴109.31亿收购陆金发"/>
      <w:bookmarkEnd w:id="76"/>
      <w:r>
        <w:t xml:space="preserve">陆家嘴109.31亿收购陆金发</w:t>
      </w:r>
    </w:p>
    <w:p>
      <w:r>
        <w:t xml:space="preserve">陆家嘴拟通过现金支付方式收购上海陆家嘴金融发展有限公司（下称“陆金发”）100%股权。据介绍，陆金发资产预估值约109.31亿元，公司拟投入43.72亿元自有资金加以收购。</w:t>
      </w:r>
    </w:p>
    <w:p>
      <w:r>
        <w:t xml:space="preserve">陆家嘴5月18日公告，公司根据上交所问询函的要求，对涉及收购陆金发的问题进行了核查和研究，做出了回复说明，同时对重大资产购买暨关联交易预案等文件进行了修改补充。</w:t>
      </w:r>
    </w:p>
    <w:p>
      <w:r>
        <w:t xml:space="preserve">陆金发公司已控股或共同经营3家持牌金融机构，分别是爱建证券有限责任公司、陆家嘴国际信托有限公司、陆家嘴国泰人寿保险有限责任公司，同时参与了金融创新试点项目，参股股权投资基金，逐渐形成了“证券+信托+寿险+基金”的业务架构。</w:t>
      </w:r>
    </w:p>
    <w:p>
      <w:hyperlink r:id="rId77">
        <w:r>
          <w:rPr>
            <w:rStyle w:val="Link"/>
          </w:rPr>
          <w:t xml:space="preserve">来源</w:t>
        </w:r>
      </w:hyperlink>
      <w:r>
        <w:t xml:space="preserve"> </w:t>
      </w:r>
      <w:r>
        <w:t xml:space="preserve">(</w:t>
      </w:r>
      <w:hyperlink r:id="rId78">
        <w:r>
          <w:rPr>
            <w:rStyle w:val="Link"/>
          </w:rPr>
          <w:t xml:space="preserve">副本</w:t>
        </w:r>
      </w:hyperlink>
      <w:r>
        <w:t xml:space="preserve">)</w:t>
      </w:r>
    </w:p>
    <w:p>
      <w:pPr>
        <w:pStyle w:val="Heading2"/>
      </w:pPr>
      <w:bookmarkStart w:id="79" w:name="其他"/>
      <w:bookmarkEnd w:id="79"/>
      <w:r>
        <w:t xml:space="preserve">其他</w:t>
      </w:r>
    </w:p>
    <w:p>
      <w:pPr>
        <w:pStyle w:val="Heading3"/>
      </w:pPr>
      <w:bookmarkStart w:id="80" w:name="人社部加强和改进人力资源社会保障领域公共服务"/>
      <w:bookmarkEnd w:id="80"/>
      <w:r>
        <w:t xml:space="preserve">人社部加强和改进人力资源社会保障领域公共服务</w:t>
      </w:r>
    </w:p>
    <w:p>
      <w:r>
        <w:t xml:space="preserve">近日，人力资源和社会保障部出台了《关于加强和改进人力资源社会保障领域公共服务的意见》。</w:t>
      </w:r>
    </w:p>
    <w:p>
      <w:r>
        <w:t xml:space="preserve">《意见》提出，各级人力资源社会保障部门要对办理公共服务事项所需证明材料和手续进行全面清理，凡没有法律法规或规章依据的证明和盖章环节原则上予以取消。要重点加强异地业务系统建设，提升社会保险关系转移接续、异地就医结算、异地领取待遇资格认证等异地业务的经办效率，方便参保人就近办事，避免“垫资”“跑腿”等情况出现。通过“互联网+政务”，让“奇葩证明”和办事难等问题得到破解。</w:t>
      </w:r>
    </w:p>
    <w:p>
      <w:r>
        <w:t xml:space="preserve">《意见》还提出2017年实现社会保障卡跨地区、跨业务直接办理个人的各项人力资源和社会保障事务，开放向其他公共服务领域的集成应用，基本实现全国社会保障一卡通。</w:t>
      </w:r>
    </w:p>
    <w:p>
      <w:hyperlink r:id="rId81">
        <w:r>
          <w:rPr>
            <w:rStyle w:val="Link"/>
          </w:rPr>
          <w:t xml:space="preserve">来源</w:t>
        </w:r>
      </w:hyperlink>
      <w:r>
        <w:t xml:space="preserve"> </w:t>
      </w:r>
      <w:r>
        <w:t xml:space="preserve">(</w:t>
      </w:r>
      <w:hyperlink r:id="rId82">
        <w:r>
          <w:rPr>
            <w:rStyle w:val="Link"/>
          </w:rPr>
          <w:t xml:space="preserve">副本</w:t>
        </w:r>
      </w:hyperlink>
      <w:r>
        <w:t xml:space="preserve">)</w:t>
      </w:r>
    </w:p>
    <w:p>
      <w:pPr>
        <w:pStyle w:val="Heading3"/>
      </w:pPr>
      <w:bookmarkStart w:id="83" w:name="国办印发健全生态保护补偿机制意见"/>
      <w:bookmarkEnd w:id="83"/>
      <w:r>
        <w:t xml:space="preserve">国办印发健全生态保护补偿机制意见</w:t>
      </w:r>
    </w:p>
    <w:p>
      <w:r>
        <w:t xml:space="preserve">近日，国务院办公厅发布《关于健全生态保护补偿机制的意见》（下称《意见》）。</w:t>
      </w:r>
    </w:p>
    <w:p>
      <w:r>
        <w:t xml:space="preserve">《意见》提出，到2020年，基本建立符合我国国情的生态保护补偿制度体系，促进形成绿色生产方式和生活方式。为此，《意见》确立“完善重点生态区域补偿机制”、“推进横向生态保护补偿”等七个方面体制机制创新。其中，《意见》指出，继续推进生态保护补偿试点示范，统筹各类补偿资金，探索综合性补偿办法，划定并严守生态保护红线，研究制定相关生态保护补偿政策。《意见》还强调，研究制定以地方补偿为主、中央财政给予支持的横向生态保护补偿机制办法，鼓励受益地区与保护生态地区、流域下游与上游通过资金补偿、对口协作、产业转移等方式建立横向补偿关系。</w:t>
      </w:r>
    </w:p>
    <w:p>
      <w:hyperlink r:id="rId84">
        <w:r>
          <w:rPr>
            <w:rStyle w:val="Link"/>
          </w:rPr>
          <w:t xml:space="preserve">来源</w:t>
        </w:r>
      </w:hyperlink>
      <w:r>
        <w:t xml:space="preserve"> </w:t>
      </w:r>
      <w:r>
        <w:t xml:space="preserve">(</w:t>
      </w:r>
      <w:hyperlink r:id="rId85">
        <w:r>
          <w:rPr>
            <w:rStyle w:val="Link"/>
          </w:rPr>
          <w:t xml:space="preserve">副本</w:t>
        </w:r>
      </w:hyperlink>
      <w:r>
        <w:t xml:space="preserve">)</w:t>
      </w:r>
    </w:p>
    <w:p>
      <w:pPr>
        <w:pStyle w:val="Heading3"/>
      </w:pPr>
      <w:bookmarkStart w:id="86" w:name="港澳服务提供者在内地投资备案管理办法发布"/>
      <w:bookmarkEnd w:id="86"/>
      <w:r>
        <w:t xml:space="preserve">《港澳服务提供者在内地投资备案管理办法》发布</w:t>
      </w:r>
    </w:p>
    <w:p>
      <w:r>
        <w:t xml:space="preserve">为推动内地与香港、澳门基本实现服务贸易自由化，规范港澳服务提供者在内地对港澳开放的服务贸易领域投资备案管理工作，近日，商务部发布《港澳服务提供者在内地投资备案管理办法（试行）》（《办法》），自2016年6月1日起施行。</w:t>
      </w:r>
    </w:p>
    <w:p>
      <w:r>
        <w:t xml:space="preserve">《办法》指出，香港服务提供者在内地仅投资《内地与香港协议》对香港开放的服务贸易领域，澳门服务提供者在内地仅投资《内地与澳门协议》对澳门开放的服务贸易领域，其公司（以下称港澳投资企业）设立及变更的合同、章程备案依照本办法办理。但下列情形除外：《内地与香港协议》第四章第九条涉及保留的限制性措施及电信、文化领域的公司，金融机构的设立及变更；《内地与澳门协议》第四章第九条涉及保留的限制性措施及电信、文化领域的公司，金融机构的设立及变更；公司以外其他形式的商业存在的设立及变更。</w:t>
      </w:r>
    </w:p>
    <w:p>
      <w:hyperlink r:id="rId87">
        <w:r>
          <w:rPr>
            <w:rStyle w:val="Link"/>
          </w:rPr>
          <w:t xml:space="preserve">来源</w:t>
        </w:r>
      </w:hyperlink>
      <w:r>
        <w:t xml:space="preserve"> </w:t>
      </w:r>
      <w:r>
        <w:t xml:space="preserve">(</w:t>
      </w:r>
      <w:hyperlink r:id="rId88">
        <w:r>
          <w:rPr>
            <w:rStyle w:val="Link"/>
          </w:rPr>
          <w:t xml:space="preserve">副本</w:t>
        </w:r>
      </w:hyperlink>
      <w:r>
        <w:t xml:space="preserve">) (</w:t>
      </w:r>
      <w:hyperlink r:id="rId89">
        <w:r>
          <w:rPr>
            <w:rStyle w:val="Link"/>
          </w:rPr>
          <w:t xml:space="preserve">副本</w:t>
        </w:r>
      </w:hyperlink>
      <w:r>
        <w:t xml:space="preserve">) (</w:t>
      </w:r>
      <w:hyperlink r:id="rId90">
        <w:r>
          <w:rPr>
            <w:rStyle w:val="Link"/>
          </w:rPr>
          <w:t xml:space="preserve">副本</w:t>
        </w:r>
      </w:hyperlink>
      <w:r>
        <w:t xml:space="preserve">) (</w:t>
      </w:r>
      <w:hyperlink r:id="rId91">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92">
        <w:r>
          <w:rPr>
            <w:rStyle w:val="Link"/>
          </w:rPr>
          <w:t xml:space="preserve">unsubscribe@charltonslaw.com</w:t>
        </w:r>
      </w:hyperlink>
    </w:p>
    <w:p>
      <w:r>
        <w:rPr>
          <w:b/>
        </w:rPr>
        <w:t xml:space="preserve">易周律师行 - 法讯 - 中国 - 第501期 - 2016年05月23日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132d9d6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62" Target="10.pdf" TargetMode="External" /><Relationship Type="http://schemas.openxmlformats.org/officeDocument/2006/relationships/hyperlink" Id="rId65" Target="11.pdf" TargetMode="External" /><Relationship Type="http://schemas.openxmlformats.org/officeDocument/2006/relationships/hyperlink" Id="rId69" Target="12.pdf" TargetMode="External" /><Relationship Type="http://schemas.openxmlformats.org/officeDocument/2006/relationships/hyperlink" Id="rId72" Target="13.pdf" TargetMode="External" /><Relationship Type="http://schemas.openxmlformats.org/officeDocument/2006/relationships/hyperlink" Id="rId75" Target="14.pdf" TargetMode="External" /><Relationship Type="http://schemas.openxmlformats.org/officeDocument/2006/relationships/hyperlink" Id="rId78" Target="15.pdf" TargetMode="External" /><Relationship Type="http://schemas.openxmlformats.org/officeDocument/2006/relationships/hyperlink" Id="rId82" Target="16.pdf" TargetMode="External" /><Relationship Type="http://schemas.openxmlformats.org/officeDocument/2006/relationships/hyperlink" Id="rId85" Target="17.pdf" TargetMode="External" /><Relationship Type="http://schemas.openxmlformats.org/officeDocument/2006/relationships/hyperlink" Id="rId88" Target="18.pdf" TargetMode="External" /><Relationship Type="http://schemas.openxmlformats.org/officeDocument/2006/relationships/hyperlink" Id="rId89" Target="18a.pdf" TargetMode="External" /><Relationship Type="http://schemas.openxmlformats.org/officeDocument/2006/relationships/hyperlink" Id="rId90" Target="18b.pdf" TargetMode="External" /><Relationship Type="http://schemas.openxmlformats.org/officeDocument/2006/relationships/hyperlink" Id="rId91" Target="18c.pdf" TargetMode="External" /><Relationship Type="http://schemas.openxmlformats.org/officeDocument/2006/relationships/hyperlink" Id="rId27" Target="1a.pdf" TargetMode="External" /><Relationship Type="http://schemas.openxmlformats.org/officeDocument/2006/relationships/hyperlink" Id="rId30" Target="2.pdf" TargetMode="External" /><Relationship Type="http://schemas.openxmlformats.org/officeDocument/2006/relationships/hyperlink" Id="rId33" Target="3.pdf" TargetMode="External" /><Relationship Type="http://schemas.openxmlformats.org/officeDocument/2006/relationships/hyperlink" Id="rId34" Target="3a.pdf" TargetMode="External" /><Relationship Type="http://schemas.openxmlformats.org/officeDocument/2006/relationships/hyperlink" Id="rId35" Target="3b.pdf" TargetMode="External" /><Relationship Type="http://schemas.openxmlformats.org/officeDocument/2006/relationships/hyperlink" Id="rId36" Target="3c.pdf" TargetMode="External" /><Relationship Type="http://schemas.openxmlformats.org/officeDocument/2006/relationships/hyperlink" Id="rId40" Target="4.pdf" TargetMode="External" /><Relationship Type="http://schemas.openxmlformats.org/officeDocument/2006/relationships/hyperlink" Id="rId44" Target="5.pdf" TargetMode="External" /><Relationship Type="http://schemas.openxmlformats.org/officeDocument/2006/relationships/hyperlink" Id="rId45" Target="5a.pdf" TargetMode="External" /><Relationship Type="http://schemas.openxmlformats.org/officeDocument/2006/relationships/hyperlink" Id="rId49" Target="6.pdf" TargetMode="External" /><Relationship Type="http://schemas.openxmlformats.org/officeDocument/2006/relationships/hyperlink" Id="rId50" Target="6a.pdf" TargetMode="External" /><Relationship Type="http://schemas.openxmlformats.org/officeDocument/2006/relationships/hyperlink" Id="rId53" Target="7.pdf" TargetMode="External" /><Relationship Type="http://schemas.openxmlformats.org/officeDocument/2006/relationships/hyperlink" Id="rId56" Target="8.pdf" TargetMode="External" /><Relationship Type="http://schemas.openxmlformats.org/officeDocument/2006/relationships/hyperlink" Id="rId59" Target="9.pdf" TargetMode="External" /><Relationship Type="http://schemas.openxmlformats.org/officeDocument/2006/relationships/hyperlink" Id="rId71" Target="http://epaper.stcn.com/paper/zqsb/html/2016-05/18/content_826646.htm" TargetMode="External" /><Relationship Type="http://schemas.openxmlformats.org/officeDocument/2006/relationships/hyperlink" Id="rId74" Target="http://epaper.stcn.com/paper/zqsb/html/2016-05/18/content_826648.htm" TargetMode="External" /><Relationship Type="http://schemas.openxmlformats.org/officeDocument/2006/relationships/hyperlink" Id="rId77" Target="http://epaper.stcn.com/paper/zqsb/html/2016-05/18/content_826650.htm" TargetMode="External" /><Relationship Type="http://schemas.openxmlformats.org/officeDocument/2006/relationships/hyperlink" Id="rId68" Target="http://epaper.stcn.com/paper/zqsb/html/epaper/index/content_827185.htm" TargetMode="External" /><Relationship Type="http://schemas.openxmlformats.org/officeDocument/2006/relationships/hyperlink" Id="rId43" Target="http://gss.mof.gov.cn/zhengwuxinxi/zhengcefabu/201605/t20160517_1993349.html" TargetMode="External" /><Relationship Type="http://schemas.openxmlformats.org/officeDocument/2006/relationships/hyperlink" Id="rId48" Target="http://jjs.mof.gov.cn/zhengwuxinxi/tongzhigonggao/201605/t20160517_1994403.html" TargetMode="External" /><Relationship Type="http://schemas.openxmlformats.org/officeDocument/2006/relationships/hyperlink" Id="rId29" Target="http://www.cbrc.gov.cn/chinese/home/docDOC_ReadView/7B5A561A5069484BB646B5B356922C2E.html" TargetMode="External" /><Relationship Type="http://schemas.openxmlformats.org/officeDocument/2006/relationships/hyperlink" Id="rId21" Target="http://www.charltonslaw.com.cn/china-news-alerts-cn-issue-501/" TargetMode="External" /><Relationship Type="http://schemas.openxmlformats.org/officeDocument/2006/relationships/hyperlink" Id="rId39" Target="http://www.circ.gov.cn/web/site0/tab5168/info4029320.htm" TargetMode="External" /><Relationship Type="http://schemas.openxmlformats.org/officeDocument/2006/relationships/hyperlink" Id="rId25" Target="http://www.csrc.gov.cn/pub/zjhpublic/G00306201/201605/t20160513_297252.htm" TargetMode="External" /><Relationship Type="http://schemas.openxmlformats.org/officeDocument/2006/relationships/hyperlink" Id="rId84" Target="http://www.gov.cn/zhengce/content/2016-05/13/content_5073049.htm" TargetMode="External" /><Relationship Type="http://schemas.openxmlformats.org/officeDocument/2006/relationships/hyperlink" Id="rId58" Target="http://www.gov.cn/zhengce/content/2016-05/16/content_5073722.htm" TargetMode="External" /><Relationship Type="http://schemas.openxmlformats.org/officeDocument/2006/relationships/hyperlink" Id="rId55" Target="http://www.gov.cn/zhengce/content/2016-05/17/content_5074120.htm" TargetMode="External" /><Relationship Type="http://schemas.openxmlformats.org/officeDocument/2006/relationships/hyperlink" Id="rId64" Target="http://www.gov.cn/zhengce/content/2016-05/18/content_5074416.htm" TargetMode="External" /><Relationship Type="http://schemas.openxmlformats.org/officeDocument/2006/relationships/hyperlink" Id="rId61" Target="http://www.miit.gov.cn/n1146295/n1652858/n1652930/n3757016/c4776396/content.html" TargetMode="External" /><Relationship Type="http://schemas.openxmlformats.org/officeDocument/2006/relationships/hyperlink" Id="rId87" Target="http://www.mofcom.gov.cn/article/b/f/201605/20160501320884.shtml" TargetMode="External" /><Relationship Type="http://schemas.openxmlformats.org/officeDocument/2006/relationships/hyperlink" Id="rId81" Target="http://www.mohrss.gov.cn/gkml/xxgk/201605/t20160513_239955.html" TargetMode="External" /><Relationship Type="http://schemas.openxmlformats.org/officeDocument/2006/relationships/hyperlink" Id="rId52" Target="http://www.sarft.gov.cn/art/2016/5/17/art_113_30823.html" TargetMode="External" /><Relationship Type="http://schemas.openxmlformats.org/officeDocument/2006/relationships/hyperlink" Id="rId32" Target="http://www.sdpc.gov.cn/zcfb/zcfbtz/201605/t20160516_801761.html" TargetMode="External" /><Relationship Type="http://schemas.openxmlformats.org/officeDocument/2006/relationships/hyperlink" Id="rId92"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62" Target="10.pdf" TargetMode="External" /><Relationship Type="http://schemas.openxmlformats.org/officeDocument/2006/relationships/hyperlink" Id="rId65" Target="11.pdf" TargetMode="External" /><Relationship Type="http://schemas.openxmlformats.org/officeDocument/2006/relationships/hyperlink" Id="rId69" Target="12.pdf" TargetMode="External" /><Relationship Type="http://schemas.openxmlformats.org/officeDocument/2006/relationships/hyperlink" Id="rId72" Target="13.pdf" TargetMode="External" /><Relationship Type="http://schemas.openxmlformats.org/officeDocument/2006/relationships/hyperlink" Id="rId75" Target="14.pdf" TargetMode="External" /><Relationship Type="http://schemas.openxmlformats.org/officeDocument/2006/relationships/hyperlink" Id="rId78" Target="15.pdf" TargetMode="External" /><Relationship Type="http://schemas.openxmlformats.org/officeDocument/2006/relationships/hyperlink" Id="rId82" Target="16.pdf" TargetMode="External" /><Relationship Type="http://schemas.openxmlformats.org/officeDocument/2006/relationships/hyperlink" Id="rId85" Target="17.pdf" TargetMode="External" /><Relationship Type="http://schemas.openxmlformats.org/officeDocument/2006/relationships/hyperlink" Id="rId88" Target="18.pdf" TargetMode="External" /><Relationship Type="http://schemas.openxmlformats.org/officeDocument/2006/relationships/hyperlink" Id="rId89" Target="18a.pdf" TargetMode="External" /><Relationship Type="http://schemas.openxmlformats.org/officeDocument/2006/relationships/hyperlink" Id="rId90" Target="18b.pdf" TargetMode="External" /><Relationship Type="http://schemas.openxmlformats.org/officeDocument/2006/relationships/hyperlink" Id="rId91" Target="18c.pdf" TargetMode="External" /><Relationship Type="http://schemas.openxmlformats.org/officeDocument/2006/relationships/hyperlink" Id="rId27" Target="1a.pdf" TargetMode="External" /><Relationship Type="http://schemas.openxmlformats.org/officeDocument/2006/relationships/hyperlink" Id="rId30" Target="2.pdf" TargetMode="External" /><Relationship Type="http://schemas.openxmlformats.org/officeDocument/2006/relationships/hyperlink" Id="rId33" Target="3.pdf" TargetMode="External" /><Relationship Type="http://schemas.openxmlformats.org/officeDocument/2006/relationships/hyperlink" Id="rId34" Target="3a.pdf" TargetMode="External" /><Relationship Type="http://schemas.openxmlformats.org/officeDocument/2006/relationships/hyperlink" Id="rId35" Target="3b.pdf" TargetMode="External" /><Relationship Type="http://schemas.openxmlformats.org/officeDocument/2006/relationships/hyperlink" Id="rId36" Target="3c.pdf" TargetMode="External" /><Relationship Type="http://schemas.openxmlformats.org/officeDocument/2006/relationships/hyperlink" Id="rId40" Target="4.pdf" TargetMode="External" /><Relationship Type="http://schemas.openxmlformats.org/officeDocument/2006/relationships/hyperlink" Id="rId44" Target="5.pdf" TargetMode="External" /><Relationship Type="http://schemas.openxmlformats.org/officeDocument/2006/relationships/hyperlink" Id="rId45" Target="5a.pdf" TargetMode="External" /><Relationship Type="http://schemas.openxmlformats.org/officeDocument/2006/relationships/hyperlink" Id="rId49" Target="6.pdf" TargetMode="External" /><Relationship Type="http://schemas.openxmlformats.org/officeDocument/2006/relationships/hyperlink" Id="rId50" Target="6a.pdf" TargetMode="External" /><Relationship Type="http://schemas.openxmlformats.org/officeDocument/2006/relationships/hyperlink" Id="rId53" Target="7.pdf" TargetMode="External" /><Relationship Type="http://schemas.openxmlformats.org/officeDocument/2006/relationships/hyperlink" Id="rId56" Target="8.pdf" TargetMode="External" /><Relationship Type="http://schemas.openxmlformats.org/officeDocument/2006/relationships/hyperlink" Id="rId59" Target="9.pdf" TargetMode="External" /><Relationship Type="http://schemas.openxmlformats.org/officeDocument/2006/relationships/hyperlink" Id="rId71" Target="http://epaper.stcn.com/paper/zqsb/html/2016-05/18/content_826646.htm" TargetMode="External" /><Relationship Type="http://schemas.openxmlformats.org/officeDocument/2006/relationships/hyperlink" Id="rId74" Target="http://epaper.stcn.com/paper/zqsb/html/2016-05/18/content_826648.htm" TargetMode="External" /><Relationship Type="http://schemas.openxmlformats.org/officeDocument/2006/relationships/hyperlink" Id="rId77" Target="http://epaper.stcn.com/paper/zqsb/html/2016-05/18/content_826650.htm" TargetMode="External" /><Relationship Type="http://schemas.openxmlformats.org/officeDocument/2006/relationships/hyperlink" Id="rId68" Target="http://epaper.stcn.com/paper/zqsb/html/epaper/index/content_827185.htm" TargetMode="External" /><Relationship Type="http://schemas.openxmlformats.org/officeDocument/2006/relationships/hyperlink" Id="rId43" Target="http://gss.mof.gov.cn/zhengwuxinxi/zhengcefabu/201605/t20160517_1993349.html" TargetMode="External" /><Relationship Type="http://schemas.openxmlformats.org/officeDocument/2006/relationships/hyperlink" Id="rId48" Target="http://jjs.mof.gov.cn/zhengwuxinxi/tongzhigonggao/201605/t20160517_1994403.html" TargetMode="External" /><Relationship Type="http://schemas.openxmlformats.org/officeDocument/2006/relationships/hyperlink" Id="rId29" Target="http://www.cbrc.gov.cn/chinese/home/docDOC_ReadView/7B5A561A5069484BB646B5B356922C2E.html" TargetMode="External" /><Relationship Type="http://schemas.openxmlformats.org/officeDocument/2006/relationships/hyperlink" Id="rId21" Target="http://www.charltonslaw.com.cn/china-news-alerts-cn-issue-501/" TargetMode="External" /><Relationship Type="http://schemas.openxmlformats.org/officeDocument/2006/relationships/hyperlink" Id="rId39" Target="http://www.circ.gov.cn/web/site0/tab5168/info4029320.htm" TargetMode="External" /><Relationship Type="http://schemas.openxmlformats.org/officeDocument/2006/relationships/hyperlink" Id="rId25" Target="http://www.csrc.gov.cn/pub/zjhpublic/G00306201/201605/t20160513_297252.htm" TargetMode="External" /><Relationship Type="http://schemas.openxmlformats.org/officeDocument/2006/relationships/hyperlink" Id="rId84" Target="http://www.gov.cn/zhengce/content/2016-05/13/content_5073049.htm" TargetMode="External" /><Relationship Type="http://schemas.openxmlformats.org/officeDocument/2006/relationships/hyperlink" Id="rId58" Target="http://www.gov.cn/zhengce/content/2016-05/16/content_5073722.htm" TargetMode="External" /><Relationship Type="http://schemas.openxmlformats.org/officeDocument/2006/relationships/hyperlink" Id="rId55" Target="http://www.gov.cn/zhengce/content/2016-05/17/content_5074120.htm" TargetMode="External" /><Relationship Type="http://schemas.openxmlformats.org/officeDocument/2006/relationships/hyperlink" Id="rId64" Target="http://www.gov.cn/zhengce/content/2016-05/18/content_5074416.htm" TargetMode="External" /><Relationship Type="http://schemas.openxmlformats.org/officeDocument/2006/relationships/hyperlink" Id="rId61" Target="http://www.miit.gov.cn/n1146295/n1652858/n1652930/n3757016/c4776396/content.html" TargetMode="External" /><Relationship Type="http://schemas.openxmlformats.org/officeDocument/2006/relationships/hyperlink" Id="rId87" Target="http://www.mofcom.gov.cn/article/b/f/201605/20160501320884.shtml" TargetMode="External" /><Relationship Type="http://schemas.openxmlformats.org/officeDocument/2006/relationships/hyperlink" Id="rId81" Target="http://www.mohrss.gov.cn/gkml/xxgk/201605/t20160513_239955.html" TargetMode="External" /><Relationship Type="http://schemas.openxmlformats.org/officeDocument/2006/relationships/hyperlink" Id="rId52" Target="http://www.sarft.gov.cn/art/2016/5/17/art_113_30823.html" TargetMode="External" /><Relationship Type="http://schemas.openxmlformats.org/officeDocument/2006/relationships/hyperlink" Id="rId32" Target="http://www.sdpc.gov.cn/zcfb/zcfbtz/201605/t20160516_801761.html" TargetMode="External" /><Relationship Type="http://schemas.openxmlformats.org/officeDocument/2006/relationships/hyperlink" Id="rId92"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第501期 - 2016年05月23日</dc:title>
  <dc:creator/>
</cp:coreProperties>
</file>