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第502期</w:t>
      </w:r>
      <w:r>
        <w:t xml:space="preserve"> </w:t>
      </w:r>
      <w:r>
        <w:t xml:space="preserve">-</w:t>
      </w:r>
      <w:r>
        <w:t xml:space="preserve"> </w:t>
      </w:r>
      <w:r>
        <w:t xml:space="preserve">2016年05月30日</w:t>
      </w:r>
    </w:p>
    <w:p>
      <w:hyperlink r:id="rId21">
        <w:r>
          <w:rPr>
            <w:rStyle w:val="Link"/>
          </w:rPr>
          <w:t xml:space="preserve">网络版</w:t>
        </w:r>
      </w:hyperlink>
    </w:p>
    <w:p>
      <w:pPr>
        <w:pStyle w:val="Heading1"/>
      </w:pPr>
      <w:bookmarkStart w:id="22" w:name="中国法讯第502期"/>
      <w:bookmarkEnd w:id="22"/>
      <w:r>
        <w:t xml:space="preserve">中国法讯第502期</w:t>
      </w:r>
    </w:p>
    <w:p>
      <w:pPr>
        <w:pStyle w:val="Heading2"/>
      </w:pPr>
      <w:bookmarkStart w:id="23" w:name="资本市场"/>
      <w:bookmarkEnd w:id="23"/>
      <w:r>
        <w:t xml:space="preserve">资本市场</w:t>
      </w:r>
    </w:p>
    <w:p>
      <w:pPr>
        <w:pStyle w:val="Heading3"/>
      </w:pPr>
      <w:bookmarkStart w:id="24" w:name="合格机构投资者入市备案管理细则印发"/>
      <w:bookmarkEnd w:id="24"/>
      <w:r>
        <w:t xml:space="preserve">《合格机构投资者入市备案管理细则》印发</w:t>
      </w:r>
    </w:p>
    <w:p>
      <w:r>
        <w:t xml:space="preserve">近日，中国人民银行上海总部制定了《合格机构投资者进入银行间债券市场备案管理实施细则》（《细则》），自发布之日起施行。</w:t>
      </w:r>
    </w:p>
    <w:p>
      <w:r>
        <w:t xml:space="preserve">《细则》明确，未来合格机构投资者进入银行间债券市场时，均应按照央行上海总部的规定进行网上备案。央行上海总部将根据规定的条件和程序，受理备案申请并出具备案通知书，备案通知书自签发之日起三个月内有效。</w:t>
      </w:r>
    </w:p>
    <w:p>
      <w:r>
        <w:t xml:space="preserve">《细则》提出，其中，法人类合格机构投资者申请备案时，应向央行上海总部提交的材料包括：法人营业执照副本和相关金融业务许可证副本；债券投资资金来源合法合规的说明；最近3年未因债券业务发生重大违法违规行为的说明等。而对非法人类合格机构投资者而言，央行上海总部规定，应由其管理人或托管人向央行上海总部申请备案，提交该产品已依法在有关管理部门或者授权的行业自律组织获得批准或完成备案的证明文件等多项材料。</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2"/>
      </w:pPr>
      <w:bookmarkStart w:id="27" w:name="保险"/>
      <w:bookmarkEnd w:id="27"/>
      <w:r>
        <w:t xml:space="preserve">保险</w:t>
      </w:r>
    </w:p>
    <w:p>
      <w:pPr>
        <w:pStyle w:val="Heading3"/>
      </w:pPr>
      <w:bookmarkStart w:id="28" w:name="保监会明确银行类保险兼业代理机构行政许可有关事项"/>
      <w:bookmarkEnd w:id="28"/>
      <w:r>
        <w:t xml:space="preserve">保监会明确银行类保险兼业代理机构行政许可有关事项</w:t>
      </w:r>
    </w:p>
    <w:p>
      <w:r>
        <w:t xml:space="preserve">近日，中国保监会发布《关于银行类保险兼业代理机构行政许可有关事项的通知》（《通知》），调整了银行类保险兼业代理机构（以下简称银行类机构）行政许可及相关监管要求。</w:t>
      </w:r>
    </w:p>
    <w:p>
      <w:r>
        <w:t xml:space="preserve">《通知》将银行类机构由过去各个营业网点均需申报保险兼业代理资格并持有保险兼业代理业务许可证，改为“法人机构申报保险兼业代理资格、法人机构持证、营业网点统一登记”制度，简化了行政许可程序，减少了行政许可事项。</w:t>
      </w:r>
    </w:p>
    <w:p>
      <w:r>
        <w:t xml:space="preserve">《通知》首次要求银行类机构直接向监管机构报送相关代理业务数据，改变了过去只由保险公司单方面报送数据的状况。配合《通知》，中国保监会将同步上线运行“保险兼业代理监管信息系统”，建立银行类机构保险代理业务数据报送制度，加强风险监测，提高非现场监管水平。</w:t>
      </w:r>
    </w:p>
    <w:p>
      <w:hyperlink r:id="rId29">
        <w:r>
          <w:rPr>
            <w:rStyle w:val="Link"/>
          </w:rPr>
          <w:t xml:space="preserve">来源</w:t>
        </w:r>
      </w:hyperlink>
      <w:r>
        <w:t xml:space="preserve"> </w:t>
      </w:r>
      <w:r>
        <w:t xml:space="preserve">(</w:t>
      </w:r>
      <w:hyperlink r:id="rId30">
        <w:r>
          <w:rPr>
            <w:rStyle w:val="Link"/>
          </w:rPr>
          <w:t xml:space="preserve">副本</w:t>
        </w:r>
      </w:hyperlink>
      <w:r>
        <w:t xml:space="preserve">) (</w:t>
      </w:r>
      <w:hyperlink r:id="rId31">
        <w:r>
          <w:rPr>
            <w:rStyle w:val="Link"/>
          </w:rPr>
          <w:t xml:space="preserve">副本</w:t>
        </w:r>
      </w:hyperlink>
      <w:r>
        <w:t xml:space="preserve">) (</w:t>
      </w:r>
      <w:hyperlink r:id="rId32">
        <w:r>
          <w:rPr>
            <w:rStyle w:val="Link"/>
          </w:rPr>
          <w:t xml:space="preserve">副本</w:t>
        </w:r>
      </w:hyperlink>
      <w:r>
        <w:t xml:space="preserve">) (</w:t>
      </w:r>
      <w:hyperlink r:id="rId33">
        <w:r>
          <w:rPr>
            <w:rStyle w:val="Link"/>
          </w:rPr>
          <w:t xml:space="preserve">副本</w:t>
        </w:r>
      </w:hyperlink>
      <w:r>
        <w:t xml:space="preserve">)</w:t>
      </w:r>
    </w:p>
    <w:p>
      <w:pPr>
        <w:pStyle w:val="Heading2"/>
      </w:pPr>
      <w:bookmarkStart w:id="34" w:name="税收"/>
      <w:bookmarkEnd w:id="34"/>
      <w:r>
        <w:t xml:space="preserve">税收</w:t>
      </w:r>
    </w:p>
    <w:p>
      <w:pPr>
        <w:pStyle w:val="Heading3"/>
      </w:pPr>
      <w:bookmarkStart w:id="35" w:name="国税总局制发税务稽查案源管理办法"/>
      <w:bookmarkEnd w:id="35"/>
      <w:r>
        <w:t xml:space="preserve">国税总局制发税务稽查案源管理办法</w:t>
      </w:r>
    </w:p>
    <w:p>
      <w:r>
        <w:t xml:space="preserve">日前，国税总局下发《税务稽查案源管理办法（试行）》（下称《办法》），自2016年7月1日施行。</w:t>
      </w:r>
    </w:p>
    <w:p>
      <w:r>
        <w:t xml:space="preserve">《办法》定义了“税务稽查案源管理”行为，明确案源管理流程包括：案源信息的收集、案源的分类处理、案源的立案分配和处理结果的使用。同时，根据《办法》，案源信息内容包括“税务局风险管理等部门在风险分析和识别工作中发现并推送的高风险纳税人风险信息”等十类。案源信息以纳税人识别号为标识，一户一档建立案源信息档案，案源信息档案包括基本信息、分类信息、异常信息、共享信息和必要的信息标识等。另外，《办法》还规定，案源部门对案源信息进行识别判断，提出拟处理意见，填写《税务稽查案源审批表》，经稽查局负责人批准后处理。</w:t>
      </w:r>
    </w:p>
    <w:p>
      <w:hyperlink r:id="rId36">
        <w:r>
          <w:rPr>
            <w:rStyle w:val="Link"/>
          </w:rPr>
          <w:t xml:space="preserve">来源</w:t>
        </w:r>
      </w:hyperlink>
      <w:r>
        <w:t xml:space="preserve"> </w:t>
      </w:r>
      <w:r>
        <w:t xml:space="preserve">(</w:t>
      </w:r>
      <w:hyperlink r:id="rId37">
        <w:r>
          <w:rPr>
            <w:rStyle w:val="Link"/>
          </w:rPr>
          <w:t xml:space="preserve">副本</w:t>
        </w:r>
      </w:hyperlink>
      <w:r>
        <w:t xml:space="preserve">)</w:t>
      </w:r>
    </w:p>
    <w:p>
      <w:pPr>
        <w:pStyle w:val="Heading2"/>
      </w:pPr>
      <w:bookmarkStart w:id="38" w:name="行业"/>
      <w:bookmarkEnd w:id="38"/>
      <w:r>
        <w:t xml:space="preserve">行业</w:t>
      </w:r>
    </w:p>
    <w:p>
      <w:pPr>
        <w:pStyle w:val="Heading3"/>
      </w:pPr>
      <w:bookmarkStart w:id="39" w:name="八部门发文指导推进电能替代"/>
      <w:bookmarkEnd w:id="39"/>
      <w:r>
        <w:t xml:space="preserve">八部门发文指导推进电能替代</w:t>
      </w:r>
    </w:p>
    <w:p>
      <w:r>
        <w:t xml:space="preserve">近日，国家发改委等八部门联合发布《关于推进电能替代的指导意见》（下称《意见》）。</w:t>
      </w:r>
    </w:p>
    <w:p>
      <w:r>
        <w:t xml:space="preserve">《意见》提出四个电能替代重点领域：一是居民采暖领域。在存在采暖刚性需求的北方地区和有采暖需求的长江沿线地区，重点对燃气（热力）管网覆盖范围以外的商场、办公楼等热负荷不连续的公共建筑，大力推广碳晶、石墨烯发热器件等分散电采暖替代燃煤采暖。二是生产制造领域。在工农业生产中推广电锅炉、电窑炉等。三是交通运输领域。主要针对各类车辆、靠港船舶、机场桥载设备等，使用电能替代燃油。四是电力供应与消费领域。旨在满足电力系统运行本身的需要，如储能设备可提高系统调峰调频能力，促进电力负荷移峰填谷。</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四部门印发互联网人工智能三年行动实施方案"/>
      <w:bookmarkEnd w:id="42"/>
      <w:r>
        <w:t xml:space="preserve">四部门印发“互联网+”人工智能三年行动实施方案</w:t>
      </w:r>
    </w:p>
    <w:p>
      <w:r>
        <w:t xml:space="preserve">近日，国家发改委等四部门联合发布《“互联网+”人工智能三年行动实施方案》（下称《方案》）。</w:t>
      </w:r>
    </w:p>
    <w:p>
      <w:r>
        <w:t xml:space="preserve">《方案》提出，到2018年，打造人工智能基础资源与创新平台，人工智能产业体系等有所突破，总体技术和产业发展与国际同步，应用及系统级技术局部领先；在重点领域培育若干全球领先的人工智能骨干企业，形成千亿级人工智能市场应用规模等。为此，《方案》确立“培育发展人工智能新兴产业”、“推进重点领域智能产品创新”和“提升终端产品智能化水平”三方面任务。其中，《方案》明确，推动互联网与传统行业融合创新，加快人工智能技术在汽车等领域的推广应用，提升重点领域网络安全保障能力，提高生产生活的智能化服务水平；支持在商业等重要领域开展人工智能应用试点示范。</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3"/>
      </w:pPr>
      <w:bookmarkStart w:id="45" w:name="商务部印发对外援助标识使用管理办法试行"/>
      <w:bookmarkEnd w:id="45"/>
      <w:r>
        <w:t xml:space="preserve">商务部印发《对外援助标识使用管理办法（试行）》</w:t>
      </w:r>
    </w:p>
    <w:p>
      <w:r>
        <w:t xml:space="preserve">近日，商务部印发《对外援助标识使用管理办法（试行）》（《办法》），自2016年6月22日起施行。</w:t>
      </w:r>
    </w:p>
    <w:p>
      <w:r>
        <w:t xml:space="preserve">《办法》明确，援外标识是中华人民共和国对外提供援助的标志。援外标识可以根据需要与中华人民共和国国旗图案一同使用。国旗图案的印制和使用应当符合《中华人民共和国国旗法》。</w:t>
      </w:r>
    </w:p>
    <w:p>
      <w:r>
        <w:t xml:space="preserve">《办法》规定，援外标识使用人有下列行为之一的，商务部给予警告，可以并处三万元人民币以下罚款，并应当依法公布处罚决定：污损或侮辱援外标识的；未经商务部同意，擅自使用或允许他人使用援外标识的；将援外标识用作商业用途或与对外援助无关活动的；在承担援外项目对外移交后或援外活动结束后仍使用援外标识的；应当使用援外标识而未使用，商务部责令限期改正，逾期未改正的。</w:t>
      </w:r>
    </w:p>
    <w:p>
      <w:hyperlink r:id="rId46">
        <w:r>
          <w:rPr>
            <w:rStyle w:val="Link"/>
          </w:rPr>
          <w:t xml:space="preserve">来源</w:t>
        </w:r>
      </w:hyperlink>
      <w:r>
        <w:t xml:space="preserve"> </w:t>
      </w:r>
      <w:r>
        <w:t xml:space="preserve">(</w:t>
      </w:r>
      <w:hyperlink r:id="rId47">
        <w:r>
          <w:rPr>
            <w:rStyle w:val="Link"/>
          </w:rPr>
          <w:t xml:space="preserve">副本</w:t>
        </w:r>
      </w:hyperlink>
      <w:r>
        <w:t xml:space="preserve">)</w:t>
      </w:r>
    </w:p>
    <w:p>
      <w:pPr>
        <w:pStyle w:val="Heading3"/>
      </w:pPr>
      <w:bookmarkStart w:id="48" w:name="国务院发文深化制造业与互联网融合"/>
      <w:bookmarkEnd w:id="48"/>
      <w:r>
        <w:t xml:space="preserve">国务院发文深化制造业与互联网融合</w:t>
      </w:r>
    </w:p>
    <w:p>
      <w:r>
        <w:t xml:space="preserve">近日，国务院印发《关于深化制造业与互联网融合发展的指导意见》（《意见》），部署深化制造业与互联网融合发展，协同推进“中国制造2025”和“互联网+”行动，加快制造强国建设。</w:t>
      </w:r>
    </w:p>
    <w:p>
      <w:r>
        <w:t xml:space="preserve">《意见》提出，到2018年，制造业重点行业骨干企业互联网“双创”平台普及率达到80%，成为促进制造业转型升级的新动能来源，制造业数字化、网络化、智能化取得明显进展；到2025年，力争实现制造业与互联网融合“双创”体系基本完备，融合发展新模式广泛普及，新型制造体系基本形成，制造业综合竞争实力大幅提升。</w:t>
      </w:r>
    </w:p>
    <w:p>
      <w:r>
        <w:t xml:space="preserve">《意见》明确了深化制造业与互联网融合发展的7项主要任务，包括打造制造企业互联网“双创”平台，推动互联网企业构建制造业“双创”服务体系，支持制造企业与互联网企业跨界融合，培育制造业与互联网融合新模式，强化融合发展基础支撑，提升融合发展系统解决方案能力，提高工业信息系统安全水平。</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国土部印发土地利用年度计划管理办法"/>
      <w:bookmarkEnd w:id="51"/>
      <w:r>
        <w:t xml:space="preserve">国土部印发《土地利用年度计划管理办法》</w:t>
      </w:r>
    </w:p>
    <w:p>
      <w:r>
        <w:t xml:space="preserve">近日，国土资源部下发《土地利用年度计划管理办法》（下称《办法》），自发布之日施行。</w:t>
      </w:r>
    </w:p>
    <w:p>
      <w:r>
        <w:t xml:space="preserve">《办法》共二十条，在定义“土地利用年度计划”基础上，进而规定，新增建设用地计划指标下达前，各省可按不超过上一年度的50%预先安排使用。《办法》还明确，省级国土主管部门应根据省级重点建设项目安排、建设项目用地预审和市县建设用地需求，合理确定预留省级的土地利用计划指标和下达市县的土地利用计划指标，并保障农村居民申请宅基地的合理用地需求。此外，《办法》强调，节余的新增建设用地计划指标，经国土部审核同意后，允许在3年内结转使用。水利设施工程建设区域以外的水面用地，不占用计划指标。</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国务院批复同意长江三角洲城市群发展规划"/>
      <w:bookmarkEnd w:id="54"/>
      <w:r>
        <w:t xml:space="preserve">国务院批复同意长江三角洲城市群发展规划</w:t>
      </w:r>
    </w:p>
    <w:p>
      <w:r>
        <w:t xml:space="preserve">近日，国务院下发《关于长江三角洲城市群发展规划的批复》（下称《批复》）。</w:t>
      </w:r>
    </w:p>
    <w:p>
      <w:r>
        <w:t xml:space="preserve">《批复》指出，着力加强供给侧结构性改革，加快培育新的发展动能，以上海建设全球城市为引领，以共建全球科技创新集群为支撑，以共守生态安全为前提，以健全包容共享的体制机制为保障，构建网络化、开放型、一体化发展格局，持续在制度创新、科技进步、产业升级、城乡统筹、全方位开放、绿色发展等方面走在全国前列，联手打造具有全球影响力的世界级城市群，加快形成国际竞争新优势等。《批复》还明确，上海市政府等要加强对《长江三角洲城市群发展规划》实施的组织领导，深化简政放权、放管结合、优化服务改革，进一步健全协作机制，明确责任分工，制定实施方案，落实各项任务措施。</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2"/>
      </w:pPr>
      <w:bookmarkStart w:id="57" w:name="并购"/>
      <w:bookmarkEnd w:id="57"/>
      <w:r>
        <w:t xml:space="preserve">并购</w:t>
      </w:r>
    </w:p>
    <w:p>
      <w:pPr>
        <w:pStyle w:val="Heading3"/>
      </w:pPr>
      <w:bookmarkStart w:id="58" w:name="达意隆25亿并购赤子城移动"/>
      <w:bookmarkEnd w:id="58"/>
      <w:r>
        <w:t xml:space="preserve">达意隆25亿并购赤子城移动</w:t>
      </w:r>
    </w:p>
    <w:p>
      <w:r>
        <w:t xml:space="preserve">达意隆5月23日公告，拟通过发行股份及支付现金的方式购买刘春河等12名交易对方合计持有的赤子城移动100%股份，交易价格为25亿元。其中，支付现金1.63亿元，发行股份1.52亿股。</w:t>
      </w:r>
    </w:p>
    <w:p>
      <w:r>
        <w:t xml:space="preserve">同时，达意隆拟向乐丰投资、凤凰祥瑞、杜力、吴世春及刘春河合计发行不超过8237.23万股股份，共募集不超过15亿元配套资金，用于支付本次交易现金对价和本次重组相关费用，剩余部分全部用于支付赤子城移动募投项目所需资金。赤子城移动募投项目包括：Solo系统产品矩阵的迭代与扩充、自有广告平台的升级与建设、Solo系统产品本地化及全球广告营销网络建设、场景化大数据平台建设、优质海外移动广告平台的并购。</w:t>
      </w:r>
    </w:p>
    <w:p>
      <w:hyperlink r:id="rId59">
        <w:r>
          <w:rPr>
            <w:rStyle w:val="Link"/>
          </w:rPr>
          <w:t xml:space="preserve">来源</w:t>
        </w:r>
      </w:hyperlink>
      <w:r>
        <w:t xml:space="preserve"> </w:t>
      </w:r>
      <w:r>
        <w:t xml:space="preserve">(</w:t>
      </w:r>
      <w:hyperlink r:id="rId60">
        <w:r>
          <w:rPr>
            <w:rStyle w:val="Link"/>
          </w:rPr>
          <w:t xml:space="preserve">副本</w:t>
        </w:r>
      </w:hyperlink>
      <w:r>
        <w:t xml:space="preserve">)</w:t>
      </w:r>
    </w:p>
    <w:p>
      <w:pPr>
        <w:pStyle w:val="Heading3"/>
      </w:pPr>
      <w:bookmarkStart w:id="61" w:name="信雅达拟斥资9.6亿元并购金网安泰"/>
      <w:bookmarkEnd w:id="61"/>
      <w:r>
        <w:t xml:space="preserve">信雅达拟斥资9.6亿元并购金网安泰</w:t>
      </w:r>
    </w:p>
    <w:p>
      <w:r>
        <w:t xml:space="preserve">信雅达5月26日晚间披露重组预案，拟以发行股份及支付现金的方式购买北京金网安泰信息技术有限公司80%股权，标的资产作价9.60亿元，同时募集配套资金。</w:t>
      </w:r>
    </w:p>
    <w:p>
      <w:r>
        <w:t xml:space="preserve">根据公告，信雅达拟向关键、钟铃、钟钊、肖燕林、李克等交易对方发行股份约1987万股，用于支付交易对价8.16亿元，发行价格为41.06元/股。剩余的1.44亿元将用现金支付。</w:t>
      </w:r>
    </w:p>
    <w:p>
      <w:hyperlink r:id="rId62">
        <w:r>
          <w:rPr>
            <w:rStyle w:val="Link"/>
          </w:rPr>
          <w:t xml:space="preserve">来源</w:t>
        </w:r>
      </w:hyperlink>
      <w:r>
        <w:t xml:space="preserve"> </w:t>
      </w:r>
      <w:r>
        <w:t xml:space="preserve">(</w:t>
      </w:r>
      <w:hyperlink r:id="rId63">
        <w:r>
          <w:rPr>
            <w:rStyle w:val="Link"/>
          </w:rPr>
          <w:t xml:space="preserve">副本</w:t>
        </w:r>
      </w:hyperlink>
      <w:r>
        <w:t xml:space="preserve">)</w:t>
      </w:r>
    </w:p>
    <w:p>
      <w:pPr>
        <w:pStyle w:val="Heading2"/>
      </w:pPr>
      <w:bookmarkStart w:id="64" w:name="其他"/>
      <w:bookmarkEnd w:id="64"/>
      <w:r>
        <w:t xml:space="preserve">其他</w:t>
      </w:r>
    </w:p>
    <w:p>
      <w:pPr>
        <w:pStyle w:val="Heading3"/>
      </w:pPr>
      <w:bookmarkStart w:id="65" w:name="年国家级新区体制机制创新工作要点出台"/>
      <w:bookmarkEnd w:id="65"/>
      <w:r>
        <w:t xml:space="preserve">2016年国家级新区体制机制创新工作要点出台</w:t>
      </w:r>
    </w:p>
    <w:p>
      <w:r>
        <w:t xml:space="preserve">日前，国家发改委下发《2016年国家级新区体制机制创新工作要点》（下称《要点》）。</w:t>
      </w:r>
    </w:p>
    <w:p>
      <w:r>
        <w:t xml:space="preserve">《要点》明确了上海浦东新区、天津滨海新区、重庆两江新区等17个国家级新区在体制机制创新方面的重点方向。其中，《要点》指出，上海浦东新区要进一步深化和有序推广自由贸易试验区制度创新，以政府服务、投资管理、贸易监管、金融制度等创新为重点，加快构建开放型经济新体制。同时提出开展“深入推进以准入前国民待遇加负面清单管理为重点的投资管理制度创新”、“以贸易便利化为重点，创新贸易监管、流通等制度框架，探索具有国际先进水平的贸易监管制度”等五方面具体工作。</w:t>
      </w:r>
    </w:p>
    <w:p>
      <w:hyperlink r:id="rId66">
        <w:r>
          <w:rPr>
            <w:rStyle w:val="Link"/>
          </w:rPr>
          <w:t xml:space="preserve">来源</w:t>
        </w:r>
      </w:hyperlink>
      <w:r>
        <w:t xml:space="preserve"> </w:t>
      </w:r>
      <w:r>
        <w:t xml:space="preserve">(</w:t>
      </w:r>
      <w:hyperlink r:id="rId67">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68">
        <w:r>
          <w:rPr>
            <w:rStyle w:val="Link"/>
          </w:rPr>
          <w:t xml:space="preserve">unsubscribe@charltonslaw.com</w:t>
        </w:r>
      </w:hyperlink>
    </w:p>
    <w:p>
      <w:r>
        <w:rPr>
          <w:b/>
        </w:rPr>
        <w:t xml:space="preserve">易周律师行 - 法讯 - 中国 - 第502期 - 2016年05月30日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d4d6c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2" Target="2b.pdf" TargetMode="External" /><Relationship Type="http://schemas.openxmlformats.org/officeDocument/2006/relationships/hyperlink" Id="rId33" Target="2c.pdf" TargetMode="External" /><Relationship Type="http://schemas.openxmlformats.org/officeDocument/2006/relationships/hyperlink" Id="rId37" Target="3.pdf" TargetMode="External" /><Relationship Type="http://schemas.openxmlformats.org/officeDocument/2006/relationships/hyperlink" Id="rId41" Target="4.pdf" TargetMode="External" /><Relationship Type="http://schemas.openxmlformats.org/officeDocument/2006/relationships/hyperlink" Id="rId44" Target="5.pdf" TargetMode="External" /><Relationship Type="http://schemas.openxmlformats.org/officeDocument/2006/relationships/hyperlink" Id="rId47"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59" Target="http://epaper.stcn.com/paper/zqsb/html/2016-05/23/content_828918.htm" TargetMode="External" /><Relationship Type="http://schemas.openxmlformats.org/officeDocument/2006/relationships/hyperlink" Id="rId62" Target="http://epaper.stcn.com/paper/zqsb/html/epaper/index/content_830942.htm" TargetMode="External" /><Relationship Type="http://schemas.openxmlformats.org/officeDocument/2006/relationships/hyperlink" Id="rId25" Target="http://shanghai.pbc.gov.cn/fzhshanghai/113571/3065920/index.html" TargetMode="External" /><Relationship Type="http://schemas.openxmlformats.org/officeDocument/2006/relationships/hyperlink" Id="rId21" Target="http://www.charltonslaw.com.cn/china-news-alerts-cn-issue-502/" TargetMode="External" /><Relationship Type="http://schemas.openxmlformats.org/officeDocument/2006/relationships/hyperlink" Id="rId36" Target="http://www.chinatax.gov.cn/n810341/n810755/c2152362/content.html" TargetMode="External" /><Relationship Type="http://schemas.openxmlformats.org/officeDocument/2006/relationships/hyperlink" Id="rId29" Target="http://www.circ.gov.cn/web/site0/tab5168/info4029961.htm" TargetMode="External" /><Relationship Type="http://schemas.openxmlformats.org/officeDocument/2006/relationships/hyperlink" Id="rId49" Target="http://www.gov.cn/zhengce/content/2016-05/20/content_5075099.htm" TargetMode="External" /><Relationship Type="http://schemas.openxmlformats.org/officeDocument/2006/relationships/hyperlink" Id="rId55" Target="http://www.gov.cn/zhengce/content/2016-05/25/content_5076639.htm" TargetMode="External" /><Relationship Type="http://schemas.openxmlformats.org/officeDocument/2006/relationships/hyperlink" Id="rId52" Target="http://www.mlr.gov.cn/zwgk/zytz/201605/t20160520_1406065.htm" TargetMode="External" /><Relationship Type="http://schemas.openxmlformats.org/officeDocument/2006/relationships/hyperlink" Id="rId46" Target="http://www.mofcom.gov.cn/article/b/bf/201605/20160501323686.shtml" TargetMode="External" /><Relationship Type="http://schemas.openxmlformats.org/officeDocument/2006/relationships/hyperlink" Id="rId43" Target="http://www.sdpc.gov.cn/gzdt/201605/t20160523_804302.html" TargetMode="External" /><Relationship Type="http://schemas.openxmlformats.org/officeDocument/2006/relationships/hyperlink" Id="rId66" Target="http://www.sdpc.gov.cn/gzdt/201605/t20160523_804303.html" TargetMode="External" /><Relationship Type="http://schemas.openxmlformats.org/officeDocument/2006/relationships/hyperlink" Id="rId40" Target="http://www.sdpc.gov.cn/gzdt/201605/t20160524_804439.html" TargetMode="External" /><Relationship Type="http://schemas.openxmlformats.org/officeDocument/2006/relationships/hyperlink" Id="rId68"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60" Target="10.pdf" TargetMode="External" /><Relationship Type="http://schemas.openxmlformats.org/officeDocument/2006/relationships/hyperlink" Id="rId63" Target="11.pdf" TargetMode="External" /><Relationship Type="http://schemas.openxmlformats.org/officeDocument/2006/relationships/hyperlink" Id="rId67" Target="12.pdf" TargetMode="External" /><Relationship Type="http://schemas.openxmlformats.org/officeDocument/2006/relationships/hyperlink" Id="rId30" Target="2.pdf" TargetMode="External" /><Relationship Type="http://schemas.openxmlformats.org/officeDocument/2006/relationships/hyperlink" Id="rId31" Target="2a.pdf" TargetMode="External" /><Relationship Type="http://schemas.openxmlformats.org/officeDocument/2006/relationships/hyperlink" Id="rId32" Target="2b.pdf" TargetMode="External" /><Relationship Type="http://schemas.openxmlformats.org/officeDocument/2006/relationships/hyperlink" Id="rId33" Target="2c.pdf" TargetMode="External" /><Relationship Type="http://schemas.openxmlformats.org/officeDocument/2006/relationships/hyperlink" Id="rId37" Target="3.pdf" TargetMode="External" /><Relationship Type="http://schemas.openxmlformats.org/officeDocument/2006/relationships/hyperlink" Id="rId41" Target="4.pdf" TargetMode="External" /><Relationship Type="http://schemas.openxmlformats.org/officeDocument/2006/relationships/hyperlink" Id="rId44" Target="5.pdf" TargetMode="External" /><Relationship Type="http://schemas.openxmlformats.org/officeDocument/2006/relationships/hyperlink" Id="rId47"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59" Target="http://epaper.stcn.com/paper/zqsb/html/2016-05/23/content_828918.htm" TargetMode="External" /><Relationship Type="http://schemas.openxmlformats.org/officeDocument/2006/relationships/hyperlink" Id="rId62" Target="http://epaper.stcn.com/paper/zqsb/html/epaper/index/content_830942.htm" TargetMode="External" /><Relationship Type="http://schemas.openxmlformats.org/officeDocument/2006/relationships/hyperlink" Id="rId25" Target="http://shanghai.pbc.gov.cn/fzhshanghai/113571/3065920/index.html" TargetMode="External" /><Relationship Type="http://schemas.openxmlformats.org/officeDocument/2006/relationships/hyperlink" Id="rId21" Target="http://www.charltonslaw.com.cn/china-news-alerts-cn-issue-502/" TargetMode="External" /><Relationship Type="http://schemas.openxmlformats.org/officeDocument/2006/relationships/hyperlink" Id="rId36" Target="http://www.chinatax.gov.cn/n810341/n810755/c2152362/content.html" TargetMode="External" /><Relationship Type="http://schemas.openxmlformats.org/officeDocument/2006/relationships/hyperlink" Id="rId29" Target="http://www.circ.gov.cn/web/site0/tab5168/info4029961.htm" TargetMode="External" /><Relationship Type="http://schemas.openxmlformats.org/officeDocument/2006/relationships/hyperlink" Id="rId49" Target="http://www.gov.cn/zhengce/content/2016-05/20/content_5075099.htm" TargetMode="External" /><Relationship Type="http://schemas.openxmlformats.org/officeDocument/2006/relationships/hyperlink" Id="rId55" Target="http://www.gov.cn/zhengce/content/2016-05/25/content_5076639.htm" TargetMode="External" /><Relationship Type="http://schemas.openxmlformats.org/officeDocument/2006/relationships/hyperlink" Id="rId52" Target="http://www.mlr.gov.cn/zwgk/zytz/201605/t20160520_1406065.htm" TargetMode="External" /><Relationship Type="http://schemas.openxmlformats.org/officeDocument/2006/relationships/hyperlink" Id="rId46" Target="http://www.mofcom.gov.cn/article/b/bf/201605/20160501323686.shtml" TargetMode="External" /><Relationship Type="http://schemas.openxmlformats.org/officeDocument/2006/relationships/hyperlink" Id="rId43" Target="http://www.sdpc.gov.cn/gzdt/201605/t20160523_804302.html" TargetMode="External" /><Relationship Type="http://schemas.openxmlformats.org/officeDocument/2006/relationships/hyperlink" Id="rId66" Target="http://www.sdpc.gov.cn/gzdt/201605/t20160523_804303.html" TargetMode="External" /><Relationship Type="http://schemas.openxmlformats.org/officeDocument/2006/relationships/hyperlink" Id="rId40" Target="http://www.sdpc.gov.cn/gzdt/201605/t20160524_804439.html" TargetMode="External" /><Relationship Type="http://schemas.openxmlformats.org/officeDocument/2006/relationships/hyperlink" Id="rId68"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第502期 - 2016年05月30日</dc:title>
  <dc:creator/>
</cp:coreProperties>
</file>