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第504期</w:t>
      </w:r>
      <w:r>
        <w:t xml:space="preserve"> </w:t>
      </w:r>
      <w:r>
        <w:t xml:space="preserve">-</w:t>
      </w:r>
      <w:r>
        <w:t xml:space="preserve"> </w:t>
      </w:r>
      <w:r>
        <w:t xml:space="preserve">2016年06月17日</w:t>
      </w:r>
    </w:p>
    <w:p>
      <w:hyperlink r:id="rId21">
        <w:r>
          <w:rPr>
            <w:rStyle w:val="Link"/>
          </w:rPr>
          <w:t xml:space="preserve">网络版</w:t>
        </w:r>
      </w:hyperlink>
    </w:p>
    <w:p>
      <w:pPr>
        <w:pStyle w:val="Heading1"/>
      </w:pPr>
      <w:bookmarkStart w:id="22" w:name="中国法讯第504期"/>
      <w:bookmarkEnd w:id="22"/>
      <w:r>
        <w:t xml:space="preserve">中国法讯第504期</w:t>
      </w:r>
    </w:p>
    <w:p>
      <w:pPr>
        <w:pStyle w:val="Heading2"/>
      </w:pPr>
      <w:bookmarkStart w:id="23" w:name="资本市场"/>
      <w:bookmarkEnd w:id="23"/>
      <w:r>
        <w:t xml:space="preserve">资本市场</w:t>
      </w:r>
    </w:p>
    <w:p>
      <w:pPr>
        <w:pStyle w:val="Heading3"/>
      </w:pPr>
      <w:bookmarkStart w:id="24" w:name="外汇局发通知改革规范资本项目结汇管理"/>
      <w:bookmarkEnd w:id="24"/>
      <w:r>
        <w:t xml:space="preserve">外汇局发通知改革规范资本项目结汇管理</w:t>
      </w:r>
    </w:p>
    <w:p>
      <w:r>
        <w:t xml:space="preserve">为进一步深化外汇管理体制改革，更好地满足和便利境内企业经营与资金运作需要，促进跨境投融资便利化，日前，国家外汇管理局发布《关于改革和规范资本项目结汇管理政策的通知》（《通知》），自发布之日起施行。</w:t>
      </w:r>
    </w:p>
    <w:p>
      <w:r>
        <w:t xml:space="preserve">《通知》的主要内容如下：一是全面实施外债资金意愿结汇管理，企业可自由选择外债资金结汇时机。二是统一境内机构资本项目外汇收入意愿结汇政策。三是明确境内机构资本项目外汇收入及其结汇资金的使用应符合外汇管理相关规定，对资本项目收入的使用实施统一的负面清单管理模式，并大幅缩减相关负面清单。四是进一步规范资本项目收入及其结汇资金的支付管理，明确银行按照展业三原则承担真实性审核义务。五是外汇局加强事中事后管理，进一步强化事后监管与违规查处。</w:t>
      </w:r>
    </w:p>
    <w:p>
      <w:hyperlink r:id="rId25">
        <w:r>
          <w:rPr>
            <w:rStyle w:val="Link"/>
          </w:rPr>
          <w:t xml:space="preserve">来源</w:t>
        </w:r>
      </w:hyperlink>
      <w:r>
        <w:t xml:space="preserve"> </w:t>
      </w:r>
      <w:r>
        <w:t xml:space="preserve">(</w:t>
      </w:r>
      <w:hyperlink r:id="rId26">
        <w:r>
          <w:rPr>
            <w:rStyle w:val="Link"/>
          </w:rPr>
          <w:t xml:space="preserve">副本</w:t>
        </w:r>
      </w:hyperlink>
      <w:r>
        <w:t xml:space="preserve">) (</w:t>
      </w:r>
      <w:hyperlink r:id="rId27">
        <w:r>
          <w:rPr>
            <w:rStyle w:val="Link"/>
          </w:rPr>
          <w:t xml:space="preserve">副本</w:t>
        </w:r>
      </w:hyperlink>
      <w:r>
        <w:t xml:space="preserve">)</w:t>
      </w:r>
    </w:p>
    <w:p>
      <w:pPr>
        <w:pStyle w:val="Heading3"/>
      </w:pPr>
      <w:bookmarkStart w:id="28" w:name="银行卡清算机构管理办法印发"/>
      <w:bookmarkEnd w:id="28"/>
      <w:r>
        <w:t xml:space="preserve">《银行卡清算机构管理办法》印发</w:t>
      </w:r>
    </w:p>
    <w:p>
      <w:r>
        <w:t xml:space="preserve">为落实国务院《关于实施银行卡清算机构准入管理的决定》（《决定》），依法有序推进银行卡清算市场开放，规范银行卡清算机构管理，促进银行卡清算市场健康发展，中国人民银行会同中国银行业监督管理委员会日前发布《银行卡清算机构管理办法》（《办法》），自发布之日起实施。</w:t>
      </w:r>
    </w:p>
    <w:p>
      <w:r>
        <w:t xml:space="preserve">《办法》细化了国务院《决定》中银行卡清算机构准入管理的各项条件，明确了银行卡清算机构在筹备、开业、机构变更及业务终止等环节的相关申请材料要求与办理程序，对银行卡清算机构董事和高级管理人员实施任职资格管理，完善了银行卡清算市场准入制度，确保符合条件、具备稳健经营能力的机构进入市场。</w:t>
      </w:r>
    </w:p>
    <w:p>
      <w:r>
        <w:t xml:space="preserve">《办法》还细化了对不在境内设立机构、仅为跨境交易提供外币银行卡清算服务的境外机构的监管要求，明确规定其应遵守有关业务管理要求并履行报告义务。</w:t>
      </w:r>
    </w:p>
    <w:p>
      <w:hyperlink r:id="rId29">
        <w:r>
          <w:rPr>
            <w:rStyle w:val="Link"/>
          </w:rPr>
          <w:t xml:space="preserve">来源</w:t>
        </w:r>
      </w:hyperlink>
      <w:r>
        <w:t xml:space="preserve"> </w:t>
      </w:r>
      <w:r>
        <w:t xml:space="preserve">(</w:t>
      </w:r>
      <w:hyperlink r:id="rId30">
        <w:r>
          <w:rPr>
            <w:rStyle w:val="Link"/>
          </w:rPr>
          <w:t xml:space="preserve">副本</w:t>
        </w:r>
      </w:hyperlink>
      <w:r>
        <w:t xml:space="preserve">)</w:t>
      </w:r>
    </w:p>
    <w:p>
      <w:pPr>
        <w:pStyle w:val="Heading2"/>
      </w:pPr>
      <w:bookmarkStart w:id="31" w:name="税收"/>
      <w:bookmarkEnd w:id="31"/>
      <w:r>
        <w:t xml:space="preserve">税收</w:t>
      </w:r>
    </w:p>
    <w:p>
      <w:pPr>
        <w:pStyle w:val="Heading3"/>
      </w:pPr>
      <w:bookmarkStart w:id="32" w:name="海关总署发文推广国际服务外包进口货物保税监管模式"/>
      <w:bookmarkEnd w:id="32"/>
      <w:r>
        <w:t xml:space="preserve">海关总署发文推广国际服务外包进口货物保税监管模式</w:t>
      </w:r>
    </w:p>
    <w:p>
      <w:r>
        <w:t xml:space="preserve">日前，海关总署发布2016年第36号公告，决定进一步推广实施国际服务外包业务进口货物保税监管模式。</w:t>
      </w:r>
    </w:p>
    <w:p>
      <w:r>
        <w:t xml:space="preserve">公告规定：一、在现有21个服务外包示范城市基础上，将国际服务外包业务进口货物海关保税监管模式推广到服务贸易创新发展试点地区和10个新增服务外包示范城市。新增地区包括海南省、威海市、贵安新区、西咸新区、沈阳市、长春市、南通市、镇江市、宁波市、福州市（含平潭综合实验区）、青岛市、郑州市、南宁市和乌鲁木齐市等14个省市（区域）。二、适用企业范围为上述地区内经主管部门认定的技术先进型服务企业。三、适用范围、申报规范、管理要求等仍按《海关总署关于全面推广实施国际服务外包业务进口货物保税监管模式的公告》执行。</w:t>
      </w:r>
    </w:p>
    <w:p>
      <w:hyperlink r:id="rId33">
        <w:r>
          <w:rPr>
            <w:rStyle w:val="Link"/>
          </w:rPr>
          <w:t xml:space="preserve">来源</w:t>
        </w:r>
      </w:hyperlink>
      <w:r>
        <w:t xml:space="preserve"> </w:t>
      </w:r>
      <w:r>
        <w:t xml:space="preserve">(</w:t>
      </w:r>
      <w:hyperlink r:id="rId34">
        <w:r>
          <w:rPr>
            <w:rStyle w:val="Link"/>
          </w:rPr>
          <w:t xml:space="preserve">副本</w:t>
        </w:r>
      </w:hyperlink>
      <w:r>
        <w:t xml:space="preserve">)</w:t>
      </w:r>
    </w:p>
    <w:p>
      <w:pPr>
        <w:pStyle w:val="Heading3"/>
      </w:pPr>
      <w:bookmarkStart w:id="35" w:name="税总明确内地香港避免双重征税安排相关身份证明问题"/>
      <w:bookmarkEnd w:id="35"/>
      <w:r>
        <w:t xml:space="preserve">税总明确内地香港避免双重征税安排相关身份证明问题</w:t>
      </w:r>
    </w:p>
    <w:p>
      <w:r>
        <w:t xml:space="preserve">近日，国税总局发布《关于在内地使用香港居民身份证明有关问题的公告》（下称《公告》），旨在简化《内地和香港特别行政区关于对所得避免双重征税和防止偷漏税的安排》（简称《安排》）执行程序。</w:t>
      </w:r>
    </w:p>
    <w:p>
      <w:r>
        <w:t xml:space="preserve">《公告》称，香港特别行政区税务主管当局为香港居民就某一公历年度出具的居民身份证明书，可用作证明该香港居民在该公历年度及其后连续两个公历年度的香港居民身份。如有关香港居民的情况发生变化，不再符合享受《安排》待遇条件，则原适用于该公历年度的居民身份证明书不能用作证明其在情况发生变化后的香港居民身份。根据换函，以上安排自2016年4月15日起生效执行，4月15日以前由香港税务主管当局出具的居民身份证明书也按以上安排执行。</w:t>
      </w:r>
    </w:p>
    <w:p>
      <w:hyperlink r:id="rId36">
        <w:r>
          <w:rPr>
            <w:rStyle w:val="Link"/>
          </w:rPr>
          <w:t xml:space="preserve">来源</w:t>
        </w:r>
      </w:hyperlink>
      <w:r>
        <w:t xml:space="preserve"> </w:t>
      </w:r>
      <w:r>
        <w:t xml:space="preserve">(</w:t>
      </w:r>
      <w:hyperlink r:id="rId37">
        <w:r>
          <w:rPr>
            <w:rStyle w:val="Link"/>
          </w:rPr>
          <w:t xml:space="preserve">副本</w:t>
        </w:r>
      </w:hyperlink>
      <w:r>
        <w:t xml:space="preserve">) (</w:t>
      </w:r>
      <w:hyperlink r:id="rId38">
        <w:r>
          <w:rPr>
            <w:rStyle w:val="Link"/>
          </w:rPr>
          <w:t xml:space="preserve">副本</w:t>
        </w:r>
      </w:hyperlink>
      <w:r>
        <w:t xml:space="preserve">)</w:t>
      </w:r>
    </w:p>
    <w:p>
      <w:pPr>
        <w:pStyle w:val="Heading3"/>
      </w:pPr>
      <w:bookmarkStart w:id="39" w:name="税总制发国地税联合稽查工作办法"/>
      <w:bookmarkEnd w:id="39"/>
      <w:r>
        <w:t xml:space="preserve">税总制发国地税联合稽查工作办法</w:t>
      </w:r>
    </w:p>
    <w:p>
      <w:r>
        <w:t xml:space="preserve">近日，国税总局发布《国家税务局 地方税务局联合稽查工作办法（试行）》（下称《办法》），自印发之日执行。</w:t>
      </w:r>
    </w:p>
    <w:p>
      <w:r>
        <w:t xml:space="preserve">《办法》共九章五十四条，涵盖共建协调机制、共享涉税信息、共同下达任务、联合实施检查等内容。根据《办法》，国地税局应共同建立联合稽查工作日常联络会商和情况通报工作制度，在建立税务稽查随机抽查对象名录库的基础上，共同建立、维护共同管辖纳税人名录库。同时，《办法》规定，国税局或地税局选取联合进户稽查对象，要避免多头重复检查，并应将符合“同属双方重点税源”等六种情形的共同管辖纳税人确定为联合进户稽查对象。《办法》还强调，国地税局在开展行业、区域和集团企业税务检查时，应形成联合检查提纲，用以指导有关工作。</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深交所发文明确营改增有关事项"/>
      <w:bookmarkEnd w:id="42"/>
      <w:r>
        <w:t xml:space="preserve">深交所发文明确营改增有关事项</w:t>
      </w:r>
    </w:p>
    <w:p>
      <w:r>
        <w:t xml:space="preserve">近日，深交所发布《“营改增”有关事项的公告》（下称《公告》）。</w:t>
      </w:r>
    </w:p>
    <w:p>
      <w:r>
        <w:t xml:space="preserve">《公告》规定，深交所各项市场收费将在原收费标准基础上实施价税分离，即分离后的价税合计不超过原收费标准。同时，《公告》明确：取得增值税一般纳税人资格，且按增值税的相关政策需要从本所取得增值税专用发票的一级结算参与人上市公司、会员等市场主体，应根据本所要求，及时登记增值税涉税信息；增值税一般纳税人办理零星收费业务时需要本所开具增值税专用发票的，应填报完整的《增值税一般纳税人客户信息登记表》并加盖公章；非增值税一般纳税人单位及个人无需办理涉税信息登记。此外，《公告》还对专用发票领取手续以及其他相关事宜进行了规范。</w:t>
      </w:r>
    </w:p>
    <w:p>
      <w:hyperlink r:id="rId43">
        <w:r>
          <w:rPr>
            <w:rStyle w:val="Link"/>
          </w:rPr>
          <w:t xml:space="preserve">来源</w:t>
        </w:r>
      </w:hyperlink>
      <w:r>
        <w:t xml:space="preserve"> </w:t>
      </w:r>
      <w:r>
        <w:t xml:space="preserve">(</w:t>
      </w:r>
      <w:hyperlink r:id="rId44">
        <w:r>
          <w:rPr>
            <w:rStyle w:val="Link"/>
          </w:rPr>
          <w:t xml:space="preserve">副本</w:t>
        </w:r>
      </w:hyperlink>
      <w:r>
        <w:t xml:space="preserve">) (</w:t>
      </w:r>
      <w:hyperlink r:id="rId45">
        <w:r>
          <w:rPr>
            <w:rStyle w:val="Link"/>
          </w:rPr>
          <w:t xml:space="preserve">副本</w:t>
        </w:r>
      </w:hyperlink>
      <w:r>
        <w:t xml:space="preserve">)</w:t>
      </w:r>
    </w:p>
    <w:p>
      <w:pPr>
        <w:pStyle w:val="Heading2"/>
      </w:pPr>
      <w:bookmarkStart w:id="46" w:name="行业"/>
      <w:bookmarkEnd w:id="46"/>
      <w:r>
        <w:t xml:space="preserve">行业</w:t>
      </w:r>
    </w:p>
    <w:p>
      <w:pPr>
        <w:pStyle w:val="Heading3"/>
      </w:pPr>
      <w:bookmarkStart w:id="47" w:name="国办发文促进有色金属工业转型升级"/>
      <w:bookmarkEnd w:id="47"/>
      <w:r>
        <w:t xml:space="preserve">国办发文促进有色金属工业转型升级</w:t>
      </w:r>
    </w:p>
    <w:p>
      <w:r>
        <w:t xml:space="preserve">近日，国务院办公厅印发《关于营造良好市场环境促进有色金属工业调结构促转型增效益的指导意见》（下称《意见》）。</w:t>
      </w:r>
    </w:p>
    <w:p>
      <w:r>
        <w:t xml:space="preserve">《意见》提出，优化有色金属工业产业结构，重点品种供需实现基本平衡，电解铝产能利用率保持在80%以上，铜、铝等品种矿产资源保障能力明显增强，稀有金属资源开发利用水平进一步提升等。为此，《意见》要求严控新增产能、加快退出过剩产能、加强技术创新、扩大市场应用、健全储备体系以及推进国际合作。其中，《意见》明确，要退出和处置过剩产能：不符合法律法规、产业政策和相关标准的企业，立即限期整改；未达到整改要求的，依法依规关停退出。鼓励有条件的企业调整发展战略，压减存量产能，实施跨行业、跨地区、跨所有制的等量或减量兼并重组，退出部分低效产能。</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两部门发布通知贯彻疫苗流通和预防接种管理条例"/>
      <w:bookmarkEnd w:id="50"/>
      <w:r>
        <w:t xml:space="preserve">两部门发布通知贯彻疫苗流通和预防接种管理条例</w:t>
      </w:r>
    </w:p>
    <w:p>
      <w:r>
        <w:t xml:space="preserve">为贯彻落实《疫苗流通和预防接种管理条例》，规范我国疫苗流通和预防接种管理，国家食品药品监管总局、国家卫生计生委发布《关于贯彻实施新修订〈疫苗流通和预防接种管理条例〉的通知》（《通知》）。</w:t>
      </w:r>
    </w:p>
    <w:p>
      <w:r>
        <w:t xml:space="preserve">《通知》称，原疫苗经营企业在2016年4月25日前已购进的第二类疫苗可继续销售至各级疾病预防控制机构，由其进行供应。原疫苗经营企业2017年1月1日起必须停止疫苗销售活动，向原发证的食品药品监督管理部门申请注销《药品经营许可证》或核减疫苗经营范围。各级疾病预防控制机构在2016年4月25日前已购进的第二类疫苗，在2016年12月31日前，可按照逐级供应方式供应。</w:t>
      </w:r>
    </w:p>
    <w:p>
      <w:r>
        <w:t xml:space="preserve">《通知》同时加强了配送要求以及追溯体系。要求疫苗生产企业直接向县级疾病预防控制机构配送第二类疫苗，或者委托具备冷链储存、运输条件的企业配送时，应当严格遵守药品GSP相关要求。</w:t>
      </w:r>
    </w:p>
    <w:p>
      <w:hyperlink r:id="rId51">
        <w:r>
          <w:rPr>
            <w:rStyle w:val="Link"/>
          </w:rPr>
          <w:t xml:space="preserve">来源</w:t>
        </w:r>
      </w:hyperlink>
      <w:r>
        <w:t xml:space="preserve"> </w:t>
      </w:r>
      <w:r>
        <w:t xml:space="preserve">(</w:t>
      </w:r>
      <w:hyperlink r:id="rId52">
        <w:r>
          <w:rPr>
            <w:rStyle w:val="Link"/>
          </w:rPr>
          <w:t xml:space="preserve">副本</w:t>
        </w:r>
      </w:hyperlink>
      <w:r>
        <w:t xml:space="preserve">) (</w:t>
      </w:r>
      <w:hyperlink r:id="rId53">
        <w:r>
          <w:rPr>
            <w:rStyle w:val="Link"/>
          </w:rPr>
          <w:t xml:space="preserve">副本</w:t>
        </w:r>
      </w:hyperlink>
      <w:r>
        <w:t xml:space="preserve">)</w:t>
      </w:r>
    </w:p>
    <w:p>
      <w:pPr>
        <w:pStyle w:val="Heading3"/>
      </w:pPr>
      <w:bookmarkStart w:id="54" w:name="安监总局发文指导提升煤矿安全保障能力"/>
      <w:bookmarkEnd w:id="54"/>
      <w:r>
        <w:t xml:space="preserve">安监总局发文指导提升煤矿安全保障能力</w:t>
      </w:r>
    </w:p>
    <w:p>
      <w:r>
        <w:t xml:space="preserve">日前，安监总局、国家煤矿安监局下发《关于减少井下作业人数提升煤矿安全保障能力的指导意见》（下称《意见》）。</w:t>
      </w:r>
    </w:p>
    <w:p>
      <w:r>
        <w:t xml:space="preserve">《意见》提出优化生产组织，优化运输系统，优化井下劳动组织，大力推进机械化、自动化、信息化、智能化，大力推进巷道支护和修复技术创新以及强化劳动定员管理等。其中，《意见》明确，合理确定产能，鼓励煤矿企业通过核减产能从源头上减少入井人数；合理下达生产计划，强调煤矿不应以商品煤指标等代替原煤产量变相超能力生产。《意见》还指出，煤矿企业应对矿井近、中、远期的劳动组织及劳动定员进行合理规划，每隔2-3年修订一次本企业劳动定员标准；鼓励煤矿企业将减少井下作业人数纳入安全生产工作目标和计划，创造条件减少人数。</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国家能源局下达2016光伏发电建设实施方案"/>
      <w:bookmarkEnd w:id="57"/>
      <w:r>
        <w:t xml:space="preserve">国家能源局下达2016光伏发电建设实施方案</w:t>
      </w:r>
    </w:p>
    <w:p>
      <w:r>
        <w:t xml:space="preserve">近日，国家能源局发布《关于下达2016年光伏发电建设实施方案的通知》（下称《通知》）。</w:t>
      </w:r>
    </w:p>
    <w:p>
      <w:r>
        <w:t xml:space="preserve">《通知》规定，2016年下达全国新增光伏电站建设规模1810万千瓦，其中普通光伏电站项目1260万千瓦，光伏领跑技术基地规模550万千瓦；利用固定建筑物屋顶、墙面及附属场所建设的光伏发电项目以及全部自发自用的地面光伏电站项目不限制建设规模。《通知》强调，对不具备新建光伏电站市场条件的甘肃、新疆、云南停止或暂缓下达2016年新增光伏电站建设规模。另外，《通知》还提出，对于采取竞争方式配置项目且显著推动上网电价下降的地区，其当年建设规模可直接按本省上网电价平均降幅（比例）的2倍予以调增，调增的规模仍按竞争方式分配给具体项目。</w:t>
      </w:r>
    </w:p>
    <w:p>
      <w:hyperlink r:id="rId58">
        <w:r>
          <w:rPr>
            <w:rStyle w:val="Link"/>
          </w:rPr>
          <w:t xml:space="preserve">来源</w:t>
        </w:r>
      </w:hyperlink>
      <w:r>
        <w:t xml:space="preserve"> </w:t>
      </w:r>
      <w:r>
        <w:t xml:space="preserve">(</w:t>
      </w:r>
      <w:hyperlink r:id="rId59">
        <w:r>
          <w:rPr>
            <w:rStyle w:val="Link"/>
          </w:rPr>
          <w:t xml:space="preserve">副本</w:t>
        </w:r>
      </w:hyperlink>
      <w:r>
        <w:t xml:space="preserve">) (</w:t>
      </w:r>
      <w:hyperlink r:id="rId60">
        <w:r>
          <w:rPr>
            <w:rStyle w:val="Link"/>
          </w:rPr>
          <w:t xml:space="preserve">副本</w:t>
        </w:r>
      </w:hyperlink>
      <w:r>
        <w:t xml:space="preserve">) (</w:t>
      </w:r>
      <w:hyperlink r:id="rId61">
        <w:r>
          <w:rPr>
            <w:rStyle w:val="Link"/>
          </w:rPr>
          <w:t xml:space="preserve">副本</w:t>
        </w:r>
      </w:hyperlink>
      <w:r>
        <w:t xml:space="preserve">)</w:t>
      </w:r>
    </w:p>
    <w:p>
      <w:pPr>
        <w:pStyle w:val="Heading3"/>
      </w:pPr>
      <w:bookmarkStart w:id="62" w:name="商务部等多部门联合发文-促进二手车便利交易"/>
      <w:bookmarkEnd w:id="62"/>
      <w:r>
        <w:t xml:space="preserve">商务部等多部门联合发文 促进二手车便利交易</w:t>
      </w:r>
    </w:p>
    <w:p>
      <w:r>
        <w:t xml:space="preserve">为贯彻落实国务院《关于促进二手车便利交易的若干意见》，近日，商务部、发改委、工信部等共11部门联合发布《关于促进二手车便利交易 加快活跃二手车市场的通知》（《通知》）。</w:t>
      </w:r>
    </w:p>
    <w:p>
      <w:r>
        <w:t xml:space="preserve">《通知》明确，促进二手车异地交易。已依法注册登记的小微型非营运载客汽车可以在本行政辖区或者拟转入行政辖区经销、买卖、拍卖和经纪。优化二手车交易登记程序。符合国家在用机动车排放和安全标准，在环保定期检验有效期和年检有效期内的二手车均可办理迁入手续。</w:t>
      </w:r>
    </w:p>
    <w:p>
      <w:r>
        <w:t xml:space="preserve">《通知》还提出，完善二手车税收征管。通过二手车交易市场、二手车经销企业、拍卖企业或经纪机构进行二手车交易的，应在以上市场、企业所在地或销售方所在地开具《二手车销售统一发票》。允许汽车金融公司在向消费者提供购车贷款（或融资租赁）的同时，根据消费者意愿提供附属于所购车辆的附加产品的融资。</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安监总局公布生产安全事故应急预案管理办法"/>
      <w:bookmarkEnd w:id="65"/>
      <w:r>
        <w:t xml:space="preserve">安监总局公布《生产安全事故应急预案管理办法》</w:t>
      </w:r>
    </w:p>
    <w:p>
      <w:r>
        <w:t xml:space="preserve">日前，安监总局下发《生产安全事故应急预案管理办法》（下称《办法》），自2016年7月1日施行。</w:t>
      </w:r>
    </w:p>
    <w:p>
      <w:r>
        <w:t xml:space="preserve">《办法》适用于生产安全事故应急预案的编制、评审、公布、备案、宣传、教育、培训、演练、评估、修订及监督管理工作。其中，《办法》明确，生产经营单位主要负责人负责组织编制和实施本单位的应急预案，并对应急预案的真实性和实用性负责；各分管负责人应当按照职责分工落实应急预案规定的职责。相关预案分为综合应急预案、专项应急预案和现场处置方案。《办法》指出，应急预案的编制应符合“本地区、本部门、本单位的危险性分析情况”等八项基本要求。另外，《办法》还对“未按照规定编制应急预案”等情形的法律责任予以列明。</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3"/>
      </w:pPr>
      <w:bookmarkStart w:id="68" w:name="食药总局集中整治医械流通领域违法行为"/>
      <w:bookmarkEnd w:id="68"/>
      <w:r>
        <w:t xml:space="preserve">食药总局：集中整治医械流通领域违法行为</w:t>
      </w:r>
    </w:p>
    <w:p>
      <w:r>
        <w:t xml:space="preserve">近日，国家食品药品监督管理总局发布《关于整治医疗器械流通领域经营行为的公告》（《公告》），将对医疗器械流通领域违法经营行为开展集中整治，即日起，所有从事第二类、第三类医疗器械经营企业对本企业是否存在流通领域违法行为开展自查。</w:t>
      </w:r>
    </w:p>
    <w:p>
      <w:r>
        <w:t xml:space="preserve">《公告》明确，自查范围包括从事医疗器械批发业务的经营企业销售给不具有资质的经营企业或者使用单位的；医疗器械经营企业从不具有资质的生产、经营企业购进医疗器械的。提供虚假资料或者采取其他欺骗手段取得《医疗器械经营许可证》的；未办理备案或者备案时提供虚假资料的；伪造、变造、买卖、出租、出借《医疗器械经营许可证》或《医疗器械经营备案凭证》的。未按规定建立并执行医疗器械进货查验记录制度的；从事第二类、第三类医疗器械批发业务以及第三类医疗器械零售业务的经营企业未按规定建立并执行销售记录制度的。</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2"/>
      </w:pPr>
      <w:bookmarkStart w:id="71" w:name="并购"/>
      <w:bookmarkEnd w:id="71"/>
      <w:r>
        <w:t xml:space="preserve">并购</w:t>
      </w:r>
    </w:p>
    <w:p>
      <w:pPr>
        <w:pStyle w:val="Heading3"/>
      </w:pPr>
      <w:bookmarkStart w:id="72" w:name="大康农业并购巴西fiagril"/>
      <w:bookmarkEnd w:id="72"/>
      <w:r>
        <w:t xml:space="preserve">大康农业并购巴西Fiagril</w:t>
      </w:r>
    </w:p>
    <w:p>
      <w:r>
        <w:t xml:space="preserve">6月15日，大康农业与Fiagril在上海正式签约，公司以2亿美元的价格收购其57.57%的股权，这也是国内首例民营企业完成直接投资巴西农业项目。</w:t>
      </w:r>
    </w:p>
    <w:p>
      <w:r>
        <w:t xml:space="preserve">巴西农业资源禀赋优势突出，大豆贸易量约占全球大豆贸易的40%，收购标的Fiagril为巴西最大的大豆、玉米贸易平台和农业生产资料经销商平台之一。交易完成后，大康农业的产品结构及收入来源构成将发生变化，同时将业务拓展至巴西，使得公司产品更丰富、产业链更完整。</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3"/>
      </w:pPr>
      <w:bookmarkStart w:id="75" w:name="宁波高发拟募资8.8亿加码汽车电子领域"/>
      <w:bookmarkEnd w:id="75"/>
      <w:r>
        <w:t xml:space="preserve">宁波高发拟募资8.8亿加码汽车电子领域</w:t>
      </w:r>
    </w:p>
    <w:p>
      <w:r>
        <w:t xml:space="preserve">宁波高发6月14日晚间发布非公开发行股票预案，公司拟以不低于31.99元/股的价格向不超过10名投资者发行股份不超过2763.11万股，募集资金总额不超过8.84亿元。</w:t>
      </w:r>
    </w:p>
    <w:p>
      <w:r>
        <w:t xml:space="preserve">根据预案，宁波高发拟将募投资金用于收购雪利曼电子80%股权和雪利曼软件35.55%股权（1.58亿元）；汽车电子换挡系统新建项目（2.39亿元）；汽车CAN总线控制系统产能扩建项目（1.48亿元）；汽车虚拟仪表新建项目（1.56亿元）等方面。</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Heading3"/>
      </w:pPr>
      <w:bookmarkStart w:id="78" w:name="东风股份逾3亿收购烟标印刷企业"/>
      <w:bookmarkEnd w:id="78"/>
      <w:r>
        <w:t xml:space="preserve">东风股份逾3亿收购烟标印刷企业</w:t>
      </w:r>
    </w:p>
    <w:p>
      <w:r>
        <w:t xml:space="preserve">东风股份6月13日晚间公告，拟与深圳市天图投资管理股份有限公司签署《战略合作协议》，与相关方共同发起设立“深圳市福田区天图东峰消费品并购基金”，基金目标规模为8亿元，分两期筹资，首期筹资5亿元。东风股份及拟新设的子公司拟共同以自有或自筹资金出资4亿元。</w:t>
      </w:r>
    </w:p>
    <w:p>
      <w:r>
        <w:t xml:space="preserve">东风股份宣布拟以3.38亿元受让达朗投资有限公司持有的汕头保税区金光实业有限公司75%股权。次收购完成后，东风股份将持有金光实业75%的股权，达朗投资持有金光实业25%的股权。</w:t>
      </w:r>
    </w:p>
    <w:p>
      <w:r>
        <w:t xml:space="preserve">金光实业是粤东地区历史较悠久，规模较大的烟标印刷企业之一，本次收购完成后，有助于公司进一步拓展新客户、新品牌，并通过发挥协同效应，提高公司在烟标印刷市场的业务份额及竞争力。</w:t>
      </w:r>
    </w:p>
    <w:p>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Heading3"/>
      </w:pPr>
      <w:bookmarkStart w:id="81" w:name="长园集团拟18.8亿收购和鹰科技80股权"/>
      <w:bookmarkEnd w:id="81"/>
      <w:r>
        <w:t xml:space="preserve">长园集团拟18.8亿收购和鹰科技80%股权</w:t>
      </w:r>
    </w:p>
    <w:p>
      <w:r>
        <w:t xml:space="preserve">长园集团6月7日晚间公告，拟以现金18.8亿元收购上海和鹰实业发展有限公司等16名股东合计持有的上海和鹰机电科技股份有限公司（简称“和鹰科技”）4800万股股份，占其股本总额的80%。</w:t>
      </w:r>
    </w:p>
    <w:p>
      <w:r>
        <w:t xml:space="preserve">公告显示，和鹰科技是一家集缝前、缝中、缝后整个服装工艺产品线的数字化设备全面 解决方案提供商及软性材料裁剪方案提供商，是国内国仅有的几家拥有数控裁剪机自主知识产权的企业之一。</w:t>
      </w:r>
    </w:p>
    <w:p>
      <w:hyperlink r:id="rId82">
        <w:r>
          <w:rPr>
            <w:rStyle w:val="Link"/>
          </w:rPr>
          <w:t xml:space="preserve">来源</w:t>
        </w:r>
      </w:hyperlink>
      <w:r>
        <w:t xml:space="preserve"> </w:t>
      </w:r>
      <w:r>
        <w:t xml:space="preserve">(</w:t>
      </w:r>
      <w:hyperlink r:id="rId83">
        <w:r>
          <w:rPr>
            <w:rStyle w:val="Link"/>
          </w:rPr>
          <w:t xml:space="preserve">副本</w:t>
        </w:r>
      </w:hyperlink>
      <w:r>
        <w:t xml:space="preserve">)</w:t>
      </w:r>
    </w:p>
    <w:p>
      <w:pPr>
        <w:pStyle w:val="Heading2"/>
      </w:pPr>
      <w:bookmarkStart w:id="84" w:name="其他"/>
      <w:bookmarkEnd w:id="84"/>
      <w:r>
        <w:t xml:space="preserve">其他</w:t>
      </w:r>
    </w:p>
    <w:p>
      <w:pPr>
        <w:pStyle w:val="Heading3"/>
      </w:pPr>
      <w:bookmarkStart w:id="85" w:name="财政部加强工业企业结构调整专项奖补资金使用管理"/>
      <w:bookmarkEnd w:id="85"/>
      <w:r>
        <w:t xml:space="preserve">财政部：加强工业企业结构调整专项奖补资金使用管理</w:t>
      </w:r>
    </w:p>
    <w:p>
      <w:r>
        <w:t xml:space="preserve">近日，财政部发布《关于加强工业企业结构调整专项奖补资金使用管理的通知》（下称《通知》）。</w:t>
      </w:r>
    </w:p>
    <w:p>
      <w:r>
        <w:t xml:space="preserve">《通知》规定，须严格按照《工业企业结构调整专项奖补资金管理办法》管理和使用专项奖补资金，资金主要用于国有企业职工分流安置工作，也可统筹用于符合条件的非国有企业职工分流安置等。《通知》指出，各地需制定本地区资金管理细则，明确资金的申请、使用等内容，并不得以任何名义截留、挪用专项奖补资金，不得以任何名义从专项奖补资金中提取工作费、管理费或奖励费等各类费用，不得将专项奖补资金用于平衡地方财力。另外，《通知》还强调，各地区应将分配结果在本级政府网站上向全社会公示，公示时间不得少于1个月。</w:t>
      </w:r>
    </w:p>
    <w:p>
      <w:hyperlink r:id="rId86">
        <w:r>
          <w:rPr>
            <w:rStyle w:val="Link"/>
          </w:rPr>
          <w:t xml:space="preserve">来源</w:t>
        </w:r>
      </w:hyperlink>
      <w:r>
        <w:t xml:space="preserve"> </w:t>
      </w:r>
      <w:r>
        <w:t xml:space="preserve">(</w:t>
      </w:r>
      <w:hyperlink r:id="rId87">
        <w:r>
          <w:rPr>
            <w:rStyle w:val="Link"/>
          </w:rPr>
          <w:t xml:space="preserve">副本</w:t>
        </w:r>
      </w:hyperlink>
      <w:r>
        <w:t xml:space="preserve">)</w:t>
      </w:r>
    </w:p>
    <w:p>
      <w:pPr>
        <w:pStyle w:val="Heading3"/>
      </w:pPr>
      <w:bookmarkStart w:id="88" w:name="国务院建立完善守信联合激励和失信联合惩戒制度"/>
      <w:bookmarkEnd w:id="88"/>
      <w:r>
        <w:t xml:space="preserve">国务院：建立完善守信联合激励和失信联合惩戒制度</w:t>
      </w:r>
    </w:p>
    <w:p>
      <w:r>
        <w:t xml:space="preserve">国务院日前印发《关于建立完善守信联合激励和失信联合惩戒制度加快推进社会诚信建设的指导意见》（《意见》）。</w:t>
      </w:r>
    </w:p>
    <w:p>
      <w:r>
        <w:t xml:space="preserve">《意见》指出，要进一步加快推进社会信用体系建设，加强信用信息公开和共享，依法依规运用信用激励和约束手段，构建政府、社会共同参与的跨地区、跨部门、跨领域的守信联合激励和失信联合惩戒机制，促进市场主体依法诚信经营，维护市场正常秩序，营造诚信社会环境。</w:t>
      </w:r>
    </w:p>
    <w:p>
      <w:r>
        <w:t xml:space="preserve">《意见》要求，要进一步完善相关法律法规，建立健全标准规范，加强诚信教育和诚信文化建设，加强组织实施和督促检查。鼓励有关地区和部门先行先试，通过签署合作备忘录或出台规范性文件等多种方式，建立长效机制，不断丰富信用激励内容，强化信用约束措施。要构建守信联合激励和失信联合惩戒协同机制，健全褒扬和激励诚信行为机制。</w:t>
      </w:r>
    </w:p>
    <w:p>
      <w:hyperlink r:id="rId89">
        <w:r>
          <w:rPr>
            <w:rStyle w:val="Link"/>
          </w:rPr>
          <w:t xml:space="preserve">来源</w:t>
        </w:r>
      </w:hyperlink>
      <w:r>
        <w:t xml:space="preserve"> </w:t>
      </w:r>
      <w:r>
        <w:t xml:space="preserve">(</w:t>
      </w:r>
      <w:hyperlink r:id="rId90">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1">
        <w:r>
          <w:rPr>
            <w:rStyle w:val="Link"/>
          </w:rPr>
          <w:t xml:space="preserve">unsubscribe@charltonslaw.com</w:t>
        </w:r>
      </w:hyperlink>
    </w:p>
    <w:p>
      <w:r>
        <w:rPr>
          <w:b/>
        </w:rPr>
        <w:t xml:space="preserve">易周律师行 - 法讯 - 中国 - 第504期 - 2016年06月17日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e9f5b1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9" Target="10.pdf" TargetMode="External" /><Relationship Type="http://schemas.openxmlformats.org/officeDocument/2006/relationships/hyperlink" Id="rId60" Target="10a.pdf" TargetMode="External" /><Relationship Type="http://schemas.openxmlformats.org/officeDocument/2006/relationships/hyperlink" Id="rId61" Target="10b.pdf" TargetMode="External" /><Relationship Type="http://schemas.openxmlformats.org/officeDocument/2006/relationships/hyperlink" Id="rId64" Target="11.pdf" TargetMode="External" /><Relationship Type="http://schemas.openxmlformats.org/officeDocument/2006/relationships/hyperlink" Id="rId67" Target="12.pdf" TargetMode="External" /><Relationship Type="http://schemas.openxmlformats.org/officeDocument/2006/relationships/hyperlink" Id="rId70" Target="13.pdf" TargetMode="External" /><Relationship Type="http://schemas.openxmlformats.org/officeDocument/2006/relationships/hyperlink" Id="rId74" Target="14.pdf" TargetMode="External" /><Relationship Type="http://schemas.openxmlformats.org/officeDocument/2006/relationships/hyperlink" Id="rId77" Target="15.pdf" TargetMode="External" /><Relationship Type="http://schemas.openxmlformats.org/officeDocument/2006/relationships/hyperlink" Id="rId80" Target="16.pdf" TargetMode="External" /><Relationship Type="http://schemas.openxmlformats.org/officeDocument/2006/relationships/hyperlink" Id="rId83" Target="17.pdf" TargetMode="External" /><Relationship Type="http://schemas.openxmlformats.org/officeDocument/2006/relationships/hyperlink" Id="rId87" Target="18.pdf" TargetMode="External" /><Relationship Type="http://schemas.openxmlformats.org/officeDocument/2006/relationships/hyperlink" Id="rId90" Target="19.pdf" TargetMode="External" /><Relationship Type="http://schemas.openxmlformats.org/officeDocument/2006/relationships/hyperlink" Id="rId27" Target="1a.pdf" TargetMode="External" /><Relationship Type="http://schemas.openxmlformats.org/officeDocument/2006/relationships/hyperlink" Id="rId30" Target="2.pdf" TargetMode="External" /><Relationship Type="http://schemas.openxmlformats.org/officeDocument/2006/relationships/hyperlink" Id="rId34" Target="3.pdf" TargetMode="External" /><Relationship Type="http://schemas.openxmlformats.org/officeDocument/2006/relationships/hyperlink" Id="rId37" Target="4.pdf" TargetMode="External" /><Relationship Type="http://schemas.openxmlformats.org/officeDocument/2006/relationships/hyperlink" Id="rId38" Target="4a.pdf" TargetMode="External" /><Relationship Type="http://schemas.openxmlformats.org/officeDocument/2006/relationships/hyperlink" Id="rId41" Target="5.pdf" TargetMode="External" /><Relationship Type="http://schemas.openxmlformats.org/officeDocument/2006/relationships/hyperlink" Id="rId44" Target="6.pdf" TargetMode="External" /><Relationship Type="http://schemas.openxmlformats.org/officeDocument/2006/relationships/hyperlink" Id="rId45" Target="6a.pdf" TargetMode="External" /><Relationship Type="http://schemas.openxmlformats.org/officeDocument/2006/relationships/hyperlink" Id="rId49" Target="7.pdf" TargetMode="External" /><Relationship Type="http://schemas.openxmlformats.org/officeDocument/2006/relationships/hyperlink" Id="rId52" Target="8.pdf" TargetMode="External" /><Relationship Type="http://schemas.openxmlformats.org/officeDocument/2006/relationships/hyperlink" Id="rId53" Target="8a.pdf" TargetMode="External" /><Relationship Type="http://schemas.openxmlformats.org/officeDocument/2006/relationships/hyperlink" Id="rId56" Target="9.pdf" TargetMode="External" /><Relationship Type="http://schemas.openxmlformats.org/officeDocument/2006/relationships/hyperlink" Id="rId82" Target="http://epaper.stcn.com/paper/zqsb/html/2016-06/08/content_835117.htm" TargetMode="External" /><Relationship Type="http://schemas.openxmlformats.org/officeDocument/2006/relationships/hyperlink" Id="rId79" Target="http://epaper.stcn.com/paper/zqsb/html/2016-06/14/content_836400.htm" TargetMode="External" /><Relationship Type="http://schemas.openxmlformats.org/officeDocument/2006/relationships/hyperlink" Id="rId76" Target="http://epaper.stcn.com/paper/zqsb/html/2016-06/15/content_837440.htm" TargetMode="External" /><Relationship Type="http://schemas.openxmlformats.org/officeDocument/2006/relationships/hyperlink" Id="rId73" Target="http://epaper.stcn.com/paper/zqsb/html/2016-06/16/content_837971.htm" TargetMode="External" /><Relationship Type="http://schemas.openxmlformats.org/officeDocument/2006/relationships/hyperlink" Id="rId86" Target="http://jjs.mof.gov.cn/zhengwuxinxi/tongzhigonggao/201606/t20160613_2321586.html" TargetMode="External" /><Relationship Type="http://schemas.openxmlformats.org/officeDocument/2006/relationships/hyperlink" Id="rId63" Target="http://scjss.mofcom.gov.cn/article/cx/201606/20160601336701.shtml" TargetMode="External" /><Relationship Type="http://schemas.openxmlformats.org/officeDocument/2006/relationships/hyperlink" Id="rId21" Target="http://www.charltonslaw.com.cn/china-news-alerts-cn-issue-504/" TargetMode="External" /><Relationship Type="http://schemas.openxmlformats.org/officeDocument/2006/relationships/hyperlink" Id="rId66" Target="http://www.chinasafety.gov.cn/newpage/Contents/Channel_5330/2016/0608/270727/content_270727.htm" TargetMode="External" /><Relationship Type="http://schemas.openxmlformats.org/officeDocument/2006/relationships/hyperlink" Id="rId55" Target="http://www.chinasafety.gov.cn/newpage/Contents/Channel_6288/2016/0614/270985/content_270985.htm" TargetMode="External" /><Relationship Type="http://schemas.openxmlformats.org/officeDocument/2006/relationships/hyperlink" Id="rId40" Target="http://www.chinatax.gov.cn/n810341/n810755/c2178065/content.html" TargetMode="External" /><Relationship Type="http://schemas.openxmlformats.org/officeDocument/2006/relationships/hyperlink" Id="rId36" Target="http://www.chinatax.gov.cn/n810341/n810755/c2178550/content.html" TargetMode="External" /><Relationship Type="http://schemas.openxmlformats.org/officeDocument/2006/relationships/hyperlink" Id="rId33" Target="http://www.customs.gov.cn/publish/portal0/tab49564/info803371.htm" TargetMode="External" /><Relationship Type="http://schemas.openxmlformats.org/officeDocument/2006/relationships/hyperlink" Id="rId89" Target="http://www.gov.cn/zhengce/content/2016-06/12/content_5081222.htm" TargetMode="External" /><Relationship Type="http://schemas.openxmlformats.org/officeDocument/2006/relationships/hyperlink" Id="rId48" Target="http://www.gov.cn/zhengce/content/2016-06/16/content_5082726.htm" TargetMode="External" /><Relationship Type="http://schemas.openxmlformats.org/officeDocument/2006/relationships/hyperlink" Id="rId29" Target="http://www.pbc.gov.cn/goutongjiaoliu/113456/113469/3077866/index.html" TargetMode="External" /><Relationship Type="http://schemas.openxmlformats.org/officeDocument/2006/relationships/hyperlink" Id="rId25" Target="http://www.safe.gov.cn/resources/wcmpages//wps/wcm/connect/safe_web_store/safe_web/zcfg/zbxmwhgl/zbxmzh/node_zcfg_zbxm_zbzh/1c8409804d241f1687cd8fe39639345e/" TargetMode="External" /><Relationship Type="http://schemas.openxmlformats.org/officeDocument/2006/relationships/hyperlink" Id="rId69" Target="http://www.sda.gov.cn/WS01/CL0087/155184.html" TargetMode="External" /><Relationship Type="http://schemas.openxmlformats.org/officeDocument/2006/relationships/hyperlink" Id="rId51" Target="http://www.sda.gov.cn/WS01/CL0844/155900.html" TargetMode="External" /><Relationship Type="http://schemas.openxmlformats.org/officeDocument/2006/relationships/hyperlink" Id="rId43" Target="http://www.szse.cn/main/disclosure/bsgg_front/39760074.shtml" TargetMode="External" /><Relationship Type="http://schemas.openxmlformats.org/officeDocument/2006/relationships/hyperlink" Id="rId58" Target="http://zfxxgk.nea.gov.cn/auto87/201606/t20160613_2263.htm" TargetMode="External" /><Relationship Type="http://schemas.openxmlformats.org/officeDocument/2006/relationships/hyperlink" Id="rId91"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9" Target="10.pdf" TargetMode="External" /><Relationship Type="http://schemas.openxmlformats.org/officeDocument/2006/relationships/hyperlink" Id="rId60" Target="10a.pdf" TargetMode="External" /><Relationship Type="http://schemas.openxmlformats.org/officeDocument/2006/relationships/hyperlink" Id="rId61" Target="10b.pdf" TargetMode="External" /><Relationship Type="http://schemas.openxmlformats.org/officeDocument/2006/relationships/hyperlink" Id="rId64" Target="11.pdf" TargetMode="External" /><Relationship Type="http://schemas.openxmlformats.org/officeDocument/2006/relationships/hyperlink" Id="rId67" Target="12.pdf" TargetMode="External" /><Relationship Type="http://schemas.openxmlformats.org/officeDocument/2006/relationships/hyperlink" Id="rId70" Target="13.pdf" TargetMode="External" /><Relationship Type="http://schemas.openxmlformats.org/officeDocument/2006/relationships/hyperlink" Id="rId74" Target="14.pdf" TargetMode="External" /><Relationship Type="http://schemas.openxmlformats.org/officeDocument/2006/relationships/hyperlink" Id="rId77" Target="15.pdf" TargetMode="External" /><Relationship Type="http://schemas.openxmlformats.org/officeDocument/2006/relationships/hyperlink" Id="rId80" Target="16.pdf" TargetMode="External" /><Relationship Type="http://schemas.openxmlformats.org/officeDocument/2006/relationships/hyperlink" Id="rId83" Target="17.pdf" TargetMode="External" /><Relationship Type="http://schemas.openxmlformats.org/officeDocument/2006/relationships/hyperlink" Id="rId87" Target="18.pdf" TargetMode="External" /><Relationship Type="http://schemas.openxmlformats.org/officeDocument/2006/relationships/hyperlink" Id="rId90" Target="19.pdf" TargetMode="External" /><Relationship Type="http://schemas.openxmlformats.org/officeDocument/2006/relationships/hyperlink" Id="rId27" Target="1a.pdf" TargetMode="External" /><Relationship Type="http://schemas.openxmlformats.org/officeDocument/2006/relationships/hyperlink" Id="rId30" Target="2.pdf" TargetMode="External" /><Relationship Type="http://schemas.openxmlformats.org/officeDocument/2006/relationships/hyperlink" Id="rId34" Target="3.pdf" TargetMode="External" /><Relationship Type="http://schemas.openxmlformats.org/officeDocument/2006/relationships/hyperlink" Id="rId37" Target="4.pdf" TargetMode="External" /><Relationship Type="http://schemas.openxmlformats.org/officeDocument/2006/relationships/hyperlink" Id="rId38" Target="4a.pdf" TargetMode="External" /><Relationship Type="http://schemas.openxmlformats.org/officeDocument/2006/relationships/hyperlink" Id="rId41" Target="5.pdf" TargetMode="External" /><Relationship Type="http://schemas.openxmlformats.org/officeDocument/2006/relationships/hyperlink" Id="rId44" Target="6.pdf" TargetMode="External" /><Relationship Type="http://schemas.openxmlformats.org/officeDocument/2006/relationships/hyperlink" Id="rId45" Target="6a.pdf" TargetMode="External" /><Relationship Type="http://schemas.openxmlformats.org/officeDocument/2006/relationships/hyperlink" Id="rId49" Target="7.pdf" TargetMode="External" /><Relationship Type="http://schemas.openxmlformats.org/officeDocument/2006/relationships/hyperlink" Id="rId52" Target="8.pdf" TargetMode="External" /><Relationship Type="http://schemas.openxmlformats.org/officeDocument/2006/relationships/hyperlink" Id="rId53" Target="8a.pdf" TargetMode="External" /><Relationship Type="http://schemas.openxmlformats.org/officeDocument/2006/relationships/hyperlink" Id="rId56" Target="9.pdf" TargetMode="External" /><Relationship Type="http://schemas.openxmlformats.org/officeDocument/2006/relationships/hyperlink" Id="rId82" Target="http://epaper.stcn.com/paper/zqsb/html/2016-06/08/content_835117.htm" TargetMode="External" /><Relationship Type="http://schemas.openxmlformats.org/officeDocument/2006/relationships/hyperlink" Id="rId79" Target="http://epaper.stcn.com/paper/zqsb/html/2016-06/14/content_836400.htm" TargetMode="External" /><Relationship Type="http://schemas.openxmlformats.org/officeDocument/2006/relationships/hyperlink" Id="rId76" Target="http://epaper.stcn.com/paper/zqsb/html/2016-06/15/content_837440.htm" TargetMode="External" /><Relationship Type="http://schemas.openxmlformats.org/officeDocument/2006/relationships/hyperlink" Id="rId73" Target="http://epaper.stcn.com/paper/zqsb/html/2016-06/16/content_837971.htm" TargetMode="External" /><Relationship Type="http://schemas.openxmlformats.org/officeDocument/2006/relationships/hyperlink" Id="rId86" Target="http://jjs.mof.gov.cn/zhengwuxinxi/tongzhigonggao/201606/t20160613_2321586.html" TargetMode="External" /><Relationship Type="http://schemas.openxmlformats.org/officeDocument/2006/relationships/hyperlink" Id="rId63" Target="http://scjss.mofcom.gov.cn/article/cx/201606/20160601336701.shtml" TargetMode="External" /><Relationship Type="http://schemas.openxmlformats.org/officeDocument/2006/relationships/hyperlink" Id="rId21" Target="http://www.charltonslaw.com.cn/china-news-alerts-cn-issue-504/" TargetMode="External" /><Relationship Type="http://schemas.openxmlformats.org/officeDocument/2006/relationships/hyperlink" Id="rId66" Target="http://www.chinasafety.gov.cn/newpage/Contents/Channel_5330/2016/0608/270727/content_270727.htm" TargetMode="External" /><Relationship Type="http://schemas.openxmlformats.org/officeDocument/2006/relationships/hyperlink" Id="rId55" Target="http://www.chinasafety.gov.cn/newpage/Contents/Channel_6288/2016/0614/270985/content_270985.htm" TargetMode="External" /><Relationship Type="http://schemas.openxmlformats.org/officeDocument/2006/relationships/hyperlink" Id="rId40" Target="http://www.chinatax.gov.cn/n810341/n810755/c2178065/content.html" TargetMode="External" /><Relationship Type="http://schemas.openxmlformats.org/officeDocument/2006/relationships/hyperlink" Id="rId36" Target="http://www.chinatax.gov.cn/n810341/n810755/c2178550/content.html" TargetMode="External" /><Relationship Type="http://schemas.openxmlformats.org/officeDocument/2006/relationships/hyperlink" Id="rId33" Target="http://www.customs.gov.cn/publish/portal0/tab49564/info803371.htm" TargetMode="External" /><Relationship Type="http://schemas.openxmlformats.org/officeDocument/2006/relationships/hyperlink" Id="rId89" Target="http://www.gov.cn/zhengce/content/2016-06/12/content_5081222.htm" TargetMode="External" /><Relationship Type="http://schemas.openxmlformats.org/officeDocument/2006/relationships/hyperlink" Id="rId48" Target="http://www.gov.cn/zhengce/content/2016-06/16/content_5082726.htm" TargetMode="External" /><Relationship Type="http://schemas.openxmlformats.org/officeDocument/2006/relationships/hyperlink" Id="rId29" Target="http://www.pbc.gov.cn/goutongjiaoliu/113456/113469/3077866/index.html" TargetMode="External" /><Relationship Type="http://schemas.openxmlformats.org/officeDocument/2006/relationships/hyperlink" Id="rId25" Target="http://www.safe.gov.cn/resources/wcmpages//wps/wcm/connect/safe_web_store/safe_web/zcfg/zbxmwhgl/zbxmzh/node_zcfg_zbxm_zbzh/1c8409804d241f1687cd8fe39639345e/" TargetMode="External" /><Relationship Type="http://schemas.openxmlformats.org/officeDocument/2006/relationships/hyperlink" Id="rId69" Target="http://www.sda.gov.cn/WS01/CL0087/155184.html" TargetMode="External" /><Relationship Type="http://schemas.openxmlformats.org/officeDocument/2006/relationships/hyperlink" Id="rId51" Target="http://www.sda.gov.cn/WS01/CL0844/155900.html" TargetMode="External" /><Relationship Type="http://schemas.openxmlformats.org/officeDocument/2006/relationships/hyperlink" Id="rId43" Target="http://www.szse.cn/main/disclosure/bsgg_front/39760074.shtml" TargetMode="External" /><Relationship Type="http://schemas.openxmlformats.org/officeDocument/2006/relationships/hyperlink" Id="rId58" Target="http://zfxxgk.nea.gov.cn/auto87/201606/t20160613_2263.htm" TargetMode="External" /><Relationship Type="http://schemas.openxmlformats.org/officeDocument/2006/relationships/hyperlink" Id="rId91"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第504期 - 2016年06月17日</dc:title>
  <dc:creator/>
</cp:coreProperties>
</file>