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第505期</w:t>
      </w:r>
      <w:r>
        <w:t xml:space="preserve"> </w:t>
      </w:r>
      <w:r>
        <w:t xml:space="preserve">-</w:t>
      </w:r>
      <w:r>
        <w:t xml:space="preserve"> </w:t>
      </w:r>
      <w:r>
        <w:t xml:space="preserve">2016年06月24日</w:t>
      </w:r>
    </w:p>
    <w:p>
      <w:hyperlink r:id="rId21">
        <w:r>
          <w:rPr>
            <w:rStyle w:val="Link"/>
          </w:rPr>
          <w:t xml:space="preserve">网络版</w:t>
        </w:r>
      </w:hyperlink>
    </w:p>
    <w:p>
      <w:pPr>
        <w:pStyle w:val="Heading1"/>
      </w:pPr>
      <w:bookmarkStart w:id="22" w:name="中国法讯第505期"/>
      <w:bookmarkEnd w:id="22"/>
      <w:r>
        <w:t xml:space="preserve">中国法讯第505期</w:t>
      </w:r>
    </w:p>
    <w:p>
      <w:pPr>
        <w:pStyle w:val="Heading2"/>
      </w:pPr>
      <w:bookmarkStart w:id="23" w:name="资本市场"/>
      <w:bookmarkEnd w:id="23"/>
      <w:r>
        <w:t xml:space="preserve">资本市场</w:t>
      </w:r>
    </w:p>
    <w:p>
      <w:pPr>
        <w:pStyle w:val="Heading3"/>
      </w:pPr>
      <w:bookmarkStart w:id="24" w:name="外汇局对外金融资产负债及交易统计制度进行修订"/>
      <w:bookmarkEnd w:id="24"/>
      <w:r>
        <w:t xml:space="preserve">外汇局对外金融资产负债及交易统计制度进行修订</w:t>
      </w:r>
    </w:p>
    <w:p>
      <w:r>
        <w:t xml:space="preserve">为进一步完善对外金融资产负债及交易统计，国家外汇管理局对《对外金融资产负债及交易统计制度》（《制度》）进行了修订，自2016年9月1日起施行，按《制度》进行的首次申报应于2016年10月10日前完成。</w:t>
      </w:r>
    </w:p>
    <w:p>
      <w:r>
        <w:t xml:space="preserve">《制度》细分股权工具类型。将原“股票”更名为“普通股”，并新增 “非参与性优先股”和“参与性优先股”选项。该调整涉及B表和H表。在G系列报表的“交易类型”中增加“医疗保健”选项，并新增“交易方式”（线上或线下）要素。</w:t>
      </w:r>
    </w:p>
    <w:p>
      <w:r>
        <w:t xml:space="preserve">此外，《制度》还在对方部门下取消“国际组织”选项，改为在对方国家/地区中增加“国际组织”（IOS）选项。同时，提供国际组织名录供填报使用。</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 (</w:t>
      </w:r>
      <w:hyperlink r:id="rId28">
        <w:r>
          <w:rPr>
            <w:rStyle w:val="Link"/>
          </w:rPr>
          <w:t xml:space="preserve">副本</w:t>
        </w:r>
      </w:hyperlink>
      <w:r>
        <w:t xml:space="preserve">)</w:t>
      </w:r>
    </w:p>
    <w:p>
      <w:pPr>
        <w:pStyle w:val="Heading3"/>
      </w:pPr>
      <w:bookmarkStart w:id="29" w:name="证券公司风险控制指标管理办法及配套规则发布"/>
      <w:bookmarkEnd w:id="29"/>
      <w:r>
        <w:t xml:space="preserve">《证券公司风险控制指标管理办法》及配套规则发布</w:t>
      </w:r>
    </w:p>
    <w:p>
      <w:r>
        <w:t xml:space="preserve">为提升风险控制指标的有效性，促进证券公司持续稳定健康发展，近期证监会再次研究修订《证券公司风险控制指标管理办法》（《办法》）及配套措施，并于近日公布，自2016年10月1日起施行。</w:t>
      </w:r>
    </w:p>
    <w:p>
      <w:r>
        <w:t xml:space="preserve">此次《办法》修订，一方面在维持总体框架不变基础上，对不适应行业发展需要的具体规则进行调整；另一方面，结合行业发展的新形势，通过改进净资本、风险资本准备计算公式，完善杠杆率、流动性监管等指标，明确逆周期调节机制等，提升风控指标的完备性和有效性。</w:t>
      </w:r>
    </w:p>
    <w:p>
      <w:r>
        <w:t xml:space="preserve">《办法》修订内容有以下六个方面：一是改进净资本、风险资本准备计算公式，提升资本质量和风险计量的针对性。二是完善杠杆率指标，提高风险覆盖的完备性。三是优化流动性监控指标，强化资产负债的期限匹配。四是完善单一业务风控指标，提升指标的针对性。五是明确逆周期调节机制，提升风险控制的有效性。六是强化全面风险管理要求，提升风险管理水平。</w:t>
      </w:r>
    </w:p>
    <w:p>
      <w:hyperlink r:id="rId30">
        <w:r>
          <w:rPr>
            <w:rStyle w:val="Link"/>
          </w:rPr>
          <w:t xml:space="preserve">来源</w:t>
        </w:r>
      </w:hyperlink>
      <w:r>
        <w:t xml:space="preserve"> </w:t>
      </w:r>
      <w:r>
        <w:t xml:space="preserve">(</w:t>
      </w:r>
      <w:hyperlink r:id="rId31">
        <w:r>
          <w:rPr>
            <w:rStyle w:val="Link"/>
          </w:rPr>
          <w:t xml:space="preserve">副本</w:t>
        </w:r>
      </w:hyperlink>
      <w:r>
        <w:t xml:space="preserve">)</w:t>
      </w:r>
    </w:p>
    <w:p>
      <w:pPr>
        <w:pStyle w:val="Heading2"/>
      </w:pPr>
      <w:bookmarkStart w:id="32" w:name="税收"/>
      <w:bookmarkEnd w:id="32"/>
      <w:r>
        <w:t xml:space="preserve">税收</w:t>
      </w:r>
    </w:p>
    <w:p>
      <w:pPr>
        <w:pStyle w:val="Heading3"/>
      </w:pPr>
      <w:bookmarkStart w:id="33" w:name="两部门明确营改增有关再保险不动产租赁等政策"/>
      <w:bookmarkEnd w:id="33"/>
      <w:r>
        <w:t xml:space="preserve">两部门明确营改增有关再保险、不动产租赁等政策</w:t>
      </w:r>
    </w:p>
    <w:p>
      <w:r>
        <w:t xml:space="preserve">近日，财政部、国税总局下发《关于进一步明确全面推开营改增试点有关再保险、不动产租赁和非学历教育等政策的通知》（下称《通知》），自5月1日执行。</w:t>
      </w:r>
    </w:p>
    <w:p>
      <w:r>
        <w:t xml:space="preserve">《通知》规定：其一，再保险服务方面，境内保险公司向境外保险公司提供的完全在境外消费的再保险服务，免征增值税。其二，不动产经营租赁服务方面，房地产开发企业中的一般纳税人，出租自行开发的房地产老项目，可以选择适用简易计税方法，按照5%的征收率计算应纳税额；房地产开发企业中的一般纳税人，出租其2016年5月1日后自行开发的与机构所在地不在同一县（市）的房地产项目，应按照3%预征率在不动产所在地预缴税款后，向机构所在地主管税务机关进行纳税申报；房地产开发企业中的小规模纳税人，出租自行开发的房地产项目，按照5%的征收率计算应纳税额。</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税总公告中德避免双重征税协定生效执行"/>
      <w:bookmarkEnd w:id="36"/>
      <w:r>
        <w:t xml:space="preserve">税总公告中德避免双重征税协定生效执行</w:t>
      </w:r>
    </w:p>
    <w:p>
      <w:r>
        <w:t xml:space="preserve">近日，国税总局发布《关于〈中华人民共和国和德意志联邦共和国对所得和财产避免双重征税和防止偷漏税的协定〉及议定书生效执行的公告》（下称《公告》）。</w:t>
      </w:r>
    </w:p>
    <w:p>
      <w:r>
        <w:t xml:space="preserve">《公告》称，《中华人民共和国和德意志联邦共和国对所得和财产避免双重征税和防止偷漏税的协定》及议定书（下称协定）于2014年3月28日在柏林正式签署。中德双方已完成协定生效所必需的各自国内法律程序。协定于2016年4月6日生效，适用于2017年1月1日及以后取得的所得。协定文本已在国税总局网站发布。</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海关总署调整部分监管方式代码名称及适用范围"/>
      <w:bookmarkEnd w:id="39"/>
      <w:r>
        <w:t xml:space="preserve">海关总署调整部分监管方式代码名称及适用范围</w:t>
      </w:r>
    </w:p>
    <w:p>
      <w:r>
        <w:t xml:space="preserve">近日，海关总署发布2016年第37号公告，决定调整部分监管方式代码名称及适用范围，相关规定自2016年7月1日实施。</w:t>
      </w:r>
    </w:p>
    <w:p>
      <w:r>
        <w:t xml:space="preserve">公告称，根据《关于进出口货样和广告品监管有关事项的公告》，现对监管方式代码“3010”（货样广告品A）和“3039”（货样广告品B）的名称和适用范围作如下调整：一、监管方式代码“3010”，简称“货样广告品”，全称“进出口的货样广告品”。适用于有进出口经营权的单位进出口货样广告品。暂时进出口的货样、广告品和驻华商业机构不复运出口的进口陈列样品不适用本监管方式。二、取消监管方式代码“3039”（货样广告品B）。</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保监会发布加强组合类保险资产管理产品业务监管的通知"/>
      <w:bookmarkEnd w:id="43"/>
      <w:r>
        <w:t xml:space="preserve">保监会发布加强组合类保险资产管理产品业务监管的通知</w:t>
      </w:r>
    </w:p>
    <w:p>
      <w:r>
        <w:t xml:space="preserve">为规范组合类保险资产管理产品（以下简称产品）试点业务，切实防范业务风险，中国保监会印发了《关于加强组合类保险资产管理产品业务监管的通知》（《通知》）。</w:t>
      </w:r>
    </w:p>
    <w:p>
      <w:r>
        <w:t xml:space="preserve">《通知》进一步明确了保险资产管理公司开展产品业务的相关规范，主要内容包括：一是明确公司申请产品业务试点应当具备的条件，对公司内控管理、部门设置等提出要求，确保符合相关条件方可开展产品业务。二是明确产品基础资产范围应当严格按照《试点通知》的规定执行。三是明确产品发行与登记服务原则，通过保监会指定的资产交易平台为产品提供登记、发行等业务服务，以规范产品业务行为，有效保护相关当事人合法权益。四是明确产品业务的具体监管要求，包括产品分类标准、产品业务的禁止情形等。</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wto"/>
      <w:bookmarkEnd w:id="46"/>
      <w:r>
        <w:t xml:space="preserve">WTO</w:t>
      </w:r>
    </w:p>
    <w:p>
      <w:pPr>
        <w:pStyle w:val="Heading3"/>
      </w:pPr>
      <w:bookmarkStart w:id="47" w:name="美国对华冷轧板双反案终裁成立"/>
      <w:bookmarkEnd w:id="47"/>
      <w:r>
        <w:t xml:space="preserve">美国对华冷轧板双反案终裁成立</w:t>
      </w:r>
    </w:p>
    <w:p>
      <w:r>
        <w:t xml:space="preserve">美国国际贸易委员会六名委员6月22日进行的终裁投票一致认定，中国输美冷轧板对美国国内产业构成了实质损害，美商务部将对中国此类产品征收256.44%的反补贴税和265.79%的反倾销税。一同被裁定反补贴关税的还有日本出口美国的冷轧板产品。</w:t>
      </w:r>
    </w:p>
    <w:p>
      <w:r>
        <w:t xml:space="preserve">这是美方今年以来首个走完全部流程的对华钢铁产品双反案。另外美方还有至少3件涉及中国钢铁产品的贸易救济案处于调查过程中。其一是对华耐腐蚀板双反案将在6月24日本周五进行终裁。同时，按照美国际贸易委员会的案件日程，针对中国普碳和合金钢板产品、以及不锈钢板带产品的双反调查也将在今年内得出最终结论。</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国办转发推动交通物流融合发展实施方案"/>
      <w:bookmarkEnd w:id="51"/>
      <w:r>
        <w:t xml:space="preserve">国办转发《推动交通物流融合发展实施方案》</w:t>
      </w:r>
    </w:p>
    <w:p>
      <w:r>
        <w:t xml:space="preserve">国务院办公厅日前转发国家发展改革委《营造良好市场环境推动交通物流融合发展实施方案》（《方案》），部署推动交通物流融合发展，提升交通物流综合效率效益，有效降低社会物流总体成本。</w:t>
      </w:r>
    </w:p>
    <w:p>
      <w:r>
        <w:t xml:space="preserve">《方案》指出，到2018年，初步形成开放共享的交通物流体系，全社会物流总费用占GDP的比率较2015年降低1个百分点以上；到2020年，建成设施一体衔接、信息互联互通、市场公平有序、运行安全高效的交通物流发展新体系，全社会物流总费用占GDP的比率较2015年降低2个百分点。</w:t>
      </w:r>
    </w:p>
    <w:p>
      <w:r>
        <w:t xml:space="preserve">《方案》要求，要着力打通全链条、构建大平台、创建新模式，加快交通、物流与互联网三者融合。一是打通衔接一体的全链条交通物流体系。二是构建资源共享的交通物流平台。三是创建协同联动的交通物流新模式。</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国务院发挥品牌引领作用-推动供需结构升级"/>
      <w:bookmarkEnd w:id="54"/>
      <w:r>
        <w:t xml:space="preserve">国务院：发挥品牌引领作用 推动供需结构升级</w:t>
      </w:r>
    </w:p>
    <w:p>
      <w:r>
        <w:t xml:space="preserve">国务院办公厅日前印发《关于发挥品牌引领作用推动供需结构升级的意见》（《意见》），《意见》指出，当前我国品牌发展严重滞后于经济发展，产品质量不高、创新能力不强、企业诚信意识淡薄等问题比较突出。</w:t>
      </w:r>
    </w:p>
    <w:p>
      <w:r>
        <w:t xml:space="preserve">《意见》围绕主要任务，提出了三项重大工程。一是品牌基础建设工程，围绕品牌影响因素，从推行更高质量标准、提升检验检测能力、搭建持续创新平台、增强品牌建设软实力等方面，着力打牢品牌发展基础。二是供给结构升级工程，以增品种、提品质、创品牌为主要内容，从一、二、三产业着手，通过丰富产品和服务品种、增加优质农产品供给、推出一批制造业精品、提高生活服务品质等举措，推动供给结构升级。三是需求结构升级工程，通过努力提振消费信心、宣传展示自主品牌、推动农村消费升级、持续扩大城镇消费等行动，扩大自主品牌产品消费，适应引领消费结构升级。</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三部门印发中国制造2025能源装备实施方案"/>
      <w:bookmarkEnd w:id="57"/>
      <w:r>
        <w:t xml:space="preserve">三部门印发中国制造2025能源装备实施方案</w:t>
      </w:r>
    </w:p>
    <w:p>
      <w:r>
        <w:t xml:space="preserve">近日，国家发展改革委等三部门联合发布《中国制造2025—能源装备实施方案》（下称《方案》）。</w:t>
      </w:r>
    </w:p>
    <w:p>
      <w:r>
        <w:t xml:space="preserve">《方案》提出，2025年前，新兴能源装备制造业形成具有比较优势的较完善产业体系，总体具有较强国际竞争力。有效支撑能源生产和消费革命，部分领域能源技术装备引领全球产业发展，能源技术装备标准实现国际化对接。为此，《方案》确定了15个领域的能源装备发展任务。其中包括煤炭绿色智能采掘洗选装备，深水和非常规油气勘探开发装备，油气储运和输送装备，清洁高效燃煤发电装备，水电装备，风电装备，太阳能发电装备等相关技术攻关及应用推广。</w:t>
      </w:r>
    </w:p>
    <w:p>
      <w:hyperlink r:id="rId58">
        <w:r>
          <w:rPr>
            <w:rStyle w:val="Link"/>
          </w:rPr>
          <w:t xml:space="preserve">来源</w:t>
        </w:r>
      </w:hyperlink>
      <w:r>
        <w:t xml:space="preserve"> </w:t>
      </w:r>
      <w:r>
        <w:t xml:space="preserve">(</w:t>
      </w:r>
      <w:hyperlink r:id="rId59">
        <w:r>
          <w:rPr>
            <w:rStyle w:val="Link"/>
          </w:rPr>
          <w:t xml:space="preserve">副本</w:t>
        </w:r>
      </w:hyperlink>
      <w:r>
        <w:t xml:space="preserve">) (</w:t>
      </w:r>
      <w:hyperlink r:id="rId60">
        <w:r>
          <w:rPr>
            <w:rStyle w:val="Link"/>
          </w:rPr>
          <w:t xml:space="preserve">副本</w:t>
        </w:r>
      </w:hyperlink>
      <w:r>
        <w:t xml:space="preserve">)</w:t>
      </w:r>
    </w:p>
    <w:p>
      <w:pPr>
        <w:pStyle w:val="Heading3"/>
      </w:pPr>
      <w:bookmarkStart w:id="61" w:name="煤矿安监局拟加强安全生产许可证注吊销煤矿监管"/>
      <w:bookmarkEnd w:id="61"/>
      <w:r>
        <w:t xml:space="preserve">煤矿安监局拟加强安全生产许可证注吊销煤矿监管</w:t>
      </w:r>
    </w:p>
    <w:p>
      <w:r>
        <w:t xml:space="preserve">近日，国家煤矿安监局办公室发布《关于加强安全生产许可证注销吊销煤矿安全监管监察的意见（征求意见稿）》（下称《征求意见稿》），面向社会征求意见，意见反馈截止至6月30日。</w:t>
      </w:r>
    </w:p>
    <w:p>
      <w:r>
        <w:t xml:space="preserve">《征求意见稿》包括“加强安全生产许可证监督管理”、“落实注销、吊销安全生产许可证煤矿监管措施”、“加强对安全生产许可证到期煤矿的政策引导”等三方面8条意见。其中，《征求意见稿》提出，依法注销安全生产许可证，注销后应及时向有关煤矿下达停止生产指令，并书面通知公安、供电、地方煤矿安全监管等部门，采取限量供电等措施。《征求意见稿》还规定，依法从严查处非法违法生产行为：被注销、吊销安全生产许可证的煤矿，不得组织生产；擅自组织生产的属非法煤矿，将被追究责任。</w:t>
      </w:r>
    </w:p>
    <w:p>
      <w:hyperlink r:id="rId62">
        <w:r>
          <w:rPr>
            <w:rStyle w:val="Link"/>
          </w:rPr>
          <w:t xml:space="preserve">来源</w:t>
        </w:r>
      </w:hyperlink>
      <w:r>
        <w:t xml:space="preserve"> </w:t>
      </w:r>
      <w:r>
        <w:t xml:space="preserve">(</w:t>
      </w:r>
      <w:hyperlink r:id="rId63">
        <w:r>
          <w:rPr>
            <w:rStyle w:val="Link"/>
          </w:rPr>
          <w:t xml:space="preserve">副本</w:t>
        </w:r>
      </w:hyperlink>
      <w:r>
        <w:t xml:space="preserve">) (</w:t>
      </w:r>
      <w:hyperlink r:id="rId64">
        <w:r>
          <w:rPr>
            <w:rStyle w:val="Link"/>
          </w:rPr>
          <w:t xml:space="preserve">副本</w:t>
        </w:r>
      </w:hyperlink>
      <w:r>
        <w:t xml:space="preserve">)</w:t>
      </w:r>
    </w:p>
    <w:p>
      <w:pPr>
        <w:pStyle w:val="Heading2"/>
      </w:pPr>
      <w:bookmarkStart w:id="65" w:name="并购"/>
      <w:bookmarkEnd w:id="65"/>
      <w:r>
        <w:t xml:space="preserve">并购</w:t>
      </w:r>
    </w:p>
    <w:p>
      <w:pPr>
        <w:pStyle w:val="Heading3"/>
      </w:pPr>
      <w:bookmarkStart w:id="66" w:name="潍柴动力收购德马泰克"/>
      <w:bookmarkEnd w:id="66"/>
      <w:r>
        <w:t xml:space="preserve">潍柴动力收购德马泰克</w:t>
      </w:r>
    </w:p>
    <w:p>
      <w:r>
        <w:t xml:space="preserve">潍柴动力6月21日晚间发布公告，欧洲中部时间6月21日，该公司境外子公司德国凯傲集团与Dematic Group（音译“德马泰克”）股东签署协议，收购德马泰克全部股份。此次收购交易对价将以现金方式支付，交易对价总额约21亿美元。</w:t>
      </w:r>
    </w:p>
    <w:p>
      <w:r>
        <w:t xml:space="preserve">德马泰克是一家通过高度整合自动技术、软件和服务来优化供应链并满足客户物料搬运需求的全球领先供应商。2015年，德马泰克实现营业收入18亿美元，调整后息税前利润为1.66亿美元。德马泰克拥有分布全球的工程中心和制造基地，在全球22个国家建有100多个据点。在美国、欧洲及全球其他地区具有领先地位，已为全球多行业的大中小型企业，包括增长最快的电商行业，提供超过4500个整合系统。</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全新好拟16.5亿元并购港澳资讯"/>
      <w:bookmarkEnd w:id="69"/>
      <w:r>
        <w:t xml:space="preserve">全新好拟16.5亿元并购港澳资讯</w:t>
      </w:r>
    </w:p>
    <w:p>
      <w:r>
        <w:t xml:space="preserve">全新好6月21日晚间公告，公司拟向山南弘扬、上海双鹰等111名交易对方购买其合计持有的港澳资讯100%股权。该标的交易价格暂定为16.5亿元，上市公司将以发行股份和支付现金相结合的方式支付交易对价，其中发行股份及现金方式分别占支付交易对价的80%、20%，即13.2亿元由公司以发行股份方式支付。按发行价17.96元/股计算，发行股份数量约为7349.66万股。本次交易构成重大资产重组及关联交易。</w:t>
      </w:r>
    </w:p>
    <w:p>
      <w:r>
        <w:t xml:space="preserve">同时，公司拟以锁价方式向前海全新好、张燕、李正清3名认购方，以19.67元/股的价格发行公司股份5846.47万股。募集配套资金11.5亿元，拟用于支付现金对价及中介机构相关税费，并以港澳资讯为实施主体投资于金融大数据服务中心项目、理财规划系统建设项目及投资者教育平台项目。</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仟源医药定增31亿收购普德药业"/>
      <w:bookmarkEnd w:id="72"/>
      <w:r>
        <w:t xml:space="preserve">仟源医药定增31亿收购普德药业</w:t>
      </w:r>
    </w:p>
    <w:p>
      <w:r>
        <w:t xml:space="preserve">仟源医药6月21日晚间公告，公司决定将重大资产重组调整为实施非公开发行股票，募集资金全部用于收购普德药业100%股权。仟源医药同时披露了非公开发行股票预案，</w:t>
      </w:r>
    </w:p>
    <w:p>
      <w:r>
        <w:t xml:space="preserve">根据定增预案，仟源医药拟向不超过5名特定对象非公开发行股票募集资金约31亿元，扣除相关发行费用后全部用于收购誉衡药业所持有的普德药业100%股权项目。仟源医药实际控制人之一、董事翁占国承诺拟通过新设立并控制的主体认购不低于30%。</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中国宝安2.7亿并购友诚科技"/>
      <w:bookmarkEnd w:id="75"/>
      <w:r>
        <w:t xml:space="preserve">中国宝安2.7亿并购友诚科技</w:t>
      </w:r>
    </w:p>
    <w:p>
      <w:r>
        <w:t xml:space="preserve">中国宝安6月21日发布公告，以2.7亿元收购张家港友诚科技机电有限公司(以下简称“友诚科技”)68%的股权。中国宝安称，此举意在完善在新能源产业链上下游的战略布局。</w:t>
      </w:r>
    </w:p>
    <w:p>
      <w:r>
        <w:t xml:space="preserve">据介绍，友诚科技是新能源汽车充电连接器的龙头企业，是国内新能源汽车整车厂和充电桩领域上市公司的重要配套供应商。该公司专注于为新能源电动汽车提供充电装置及相关充电解决方案。</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8">
        <w:r>
          <w:rPr>
            <w:rStyle w:val="Link"/>
          </w:rPr>
          <w:t xml:space="preserve">unsubscribe@charltonslaw.com</w:t>
        </w:r>
      </w:hyperlink>
    </w:p>
    <w:p>
      <w:r>
        <w:rPr>
          <w:b/>
        </w:rPr>
        <w:t xml:space="preserve">易周律师行 - 法讯 - 中国 - 第505期 - 2016年06月24日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e806a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0" Target="10a.pdf" TargetMode="External" /><Relationship Type="http://schemas.openxmlformats.org/officeDocument/2006/relationships/hyperlink" Id="rId63" Target="11.pdf" TargetMode="External" /><Relationship Type="http://schemas.openxmlformats.org/officeDocument/2006/relationships/hyperlink" Id="rId64" Target="11a.pdf" TargetMode="External" /><Relationship Type="http://schemas.openxmlformats.org/officeDocument/2006/relationships/hyperlink" Id="rId68"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77" Target="15.pdf" TargetMode="External" /><Relationship Type="http://schemas.openxmlformats.org/officeDocument/2006/relationships/hyperlink" Id="rId27"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35" Target="3.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5" Target="6.pdf" TargetMode="External" /><Relationship Type="http://schemas.openxmlformats.org/officeDocument/2006/relationships/hyperlink" Id="rId49" Target="7.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76" Target="http://epaper.stcn.com/paper/zqsb/html/2016-06/21/content_839659.htm" TargetMode="External" /><Relationship Type="http://schemas.openxmlformats.org/officeDocument/2006/relationships/hyperlink" Id="rId70" Target="http://epaper.stcn.com/paper/zqsb/html/2016-06/22/content_840098.htm" TargetMode="External" /><Relationship Type="http://schemas.openxmlformats.org/officeDocument/2006/relationships/hyperlink" Id="rId73" Target="http://epaper.stcn.com/paper/zqsb/html/2016-06/22/content_840102.htm" TargetMode="External" /><Relationship Type="http://schemas.openxmlformats.org/officeDocument/2006/relationships/hyperlink" Id="rId67" Target="http://epaper.stcn.com/paper/zqsb/html/epaper/index/content_840699.htm" TargetMode="External" /><Relationship Type="http://schemas.openxmlformats.org/officeDocument/2006/relationships/hyperlink" Id="rId48" Target="http://finance.sina.com.cn/roll/2016-06-24/doc-ifxtmwri4346517.shtml" TargetMode="External" /><Relationship Type="http://schemas.openxmlformats.org/officeDocument/2006/relationships/hyperlink" Id="rId34" Target="http://szs.mof.gov.cn/zhengwuxinxi/zhengcefabu/201606/t20160621_2333865.html" TargetMode="External" /><Relationship Type="http://schemas.openxmlformats.org/officeDocument/2006/relationships/hyperlink" Id="rId21" Target="http://www.charltonslaw.com.cn/china-news-alerts-cn-issue-505/" TargetMode="External" /><Relationship Type="http://schemas.openxmlformats.org/officeDocument/2006/relationships/hyperlink" Id="rId62" Target="http://www.chinasafety.gov.cn/newpage/Contents/Channel_5826/2016/0617/271509/content_271509.htm" TargetMode="External" /><Relationship Type="http://schemas.openxmlformats.org/officeDocument/2006/relationships/hyperlink" Id="rId44" Target="http://www.circ.gov.cn/web/site0/tab5168/info4033537.htm" TargetMode="External" /><Relationship Type="http://schemas.openxmlformats.org/officeDocument/2006/relationships/hyperlink" Id="rId30" Target="http://www.csrc.gov.cn/pub/zjhpublic/G00306201/201606/t20160617_298995.htm" TargetMode="External" /><Relationship Type="http://schemas.openxmlformats.org/officeDocument/2006/relationships/hyperlink" Id="rId40" Target="http://www.customs.gov.cn/publish/portal0/tab49564/info804628.htm" TargetMode="External" /><Relationship Type="http://schemas.openxmlformats.org/officeDocument/2006/relationships/hyperlink" Id="rId55" Target="http://www.gov.cn/zhengce/content/2016-06/20/content_5083778.htm" TargetMode="External" /><Relationship Type="http://schemas.openxmlformats.org/officeDocument/2006/relationships/hyperlink" Id="rId52" Target="http://www.gov.cn/zhengce/content/2016-06/21/content_5084083.htm" TargetMode="External" /><Relationship Type="http://schemas.openxmlformats.org/officeDocument/2006/relationships/hyperlink" Id="rId25" Target="http://www.safe.gov.cn/resources/wcmpages//wps/wcm/connect/safe_web_store/safe_web/zcfg/gjszywhtj/node_zcfg_gjsz_store/a44170004d334cd58f6a8fe39639345e/" TargetMode="External" /><Relationship Type="http://schemas.openxmlformats.org/officeDocument/2006/relationships/hyperlink" Id="rId58" Target="http://www.sdpc.gov.cn/gzdt/201606/t20160620_807817.html" TargetMode="External" /><Relationship Type="http://schemas.openxmlformats.org/officeDocument/2006/relationships/hyperlink" Id="rId37" Target="http://www.szgs.gov.cn/art/2016/6/21/art_303_44103.html" TargetMode="External" /><Relationship Type="http://schemas.openxmlformats.org/officeDocument/2006/relationships/hyperlink" Id="rId7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0" Target="10a.pdf" TargetMode="External" /><Relationship Type="http://schemas.openxmlformats.org/officeDocument/2006/relationships/hyperlink" Id="rId63" Target="11.pdf" TargetMode="External" /><Relationship Type="http://schemas.openxmlformats.org/officeDocument/2006/relationships/hyperlink" Id="rId64" Target="11a.pdf" TargetMode="External" /><Relationship Type="http://schemas.openxmlformats.org/officeDocument/2006/relationships/hyperlink" Id="rId68"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77" Target="15.pdf" TargetMode="External" /><Relationship Type="http://schemas.openxmlformats.org/officeDocument/2006/relationships/hyperlink" Id="rId27"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35" Target="3.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5" Target="6.pdf" TargetMode="External" /><Relationship Type="http://schemas.openxmlformats.org/officeDocument/2006/relationships/hyperlink" Id="rId49" Target="7.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76" Target="http://epaper.stcn.com/paper/zqsb/html/2016-06/21/content_839659.htm" TargetMode="External" /><Relationship Type="http://schemas.openxmlformats.org/officeDocument/2006/relationships/hyperlink" Id="rId70" Target="http://epaper.stcn.com/paper/zqsb/html/2016-06/22/content_840098.htm" TargetMode="External" /><Relationship Type="http://schemas.openxmlformats.org/officeDocument/2006/relationships/hyperlink" Id="rId73" Target="http://epaper.stcn.com/paper/zqsb/html/2016-06/22/content_840102.htm" TargetMode="External" /><Relationship Type="http://schemas.openxmlformats.org/officeDocument/2006/relationships/hyperlink" Id="rId67" Target="http://epaper.stcn.com/paper/zqsb/html/epaper/index/content_840699.htm" TargetMode="External" /><Relationship Type="http://schemas.openxmlformats.org/officeDocument/2006/relationships/hyperlink" Id="rId48" Target="http://finance.sina.com.cn/roll/2016-06-24/doc-ifxtmwri4346517.shtml" TargetMode="External" /><Relationship Type="http://schemas.openxmlformats.org/officeDocument/2006/relationships/hyperlink" Id="rId34" Target="http://szs.mof.gov.cn/zhengwuxinxi/zhengcefabu/201606/t20160621_2333865.html" TargetMode="External" /><Relationship Type="http://schemas.openxmlformats.org/officeDocument/2006/relationships/hyperlink" Id="rId21" Target="http://www.charltonslaw.com.cn/china-news-alerts-cn-issue-505/" TargetMode="External" /><Relationship Type="http://schemas.openxmlformats.org/officeDocument/2006/relationships/hyperlink" Id="rId62" Target="http://www.chinasafety.gov.cn/newpage/Contents/Channel_5826/2016/0617/271509/content_271509.htm" TargetMode="External" /><Relationship Type="http://schemas.openxmlformats.org/officeDocument/2006/relationships/hyperlink" Id="rId44" Target="http://www.circ.gov.cn/web/site0/tab5168/info4033537.htm" TargetMode="External" /><Relationship Type="http://schemas.openxmlformats.org/officeDocument/2006/relationships/hyperlink" Id="rId30" Target="http://www.csrc.gov.cn/pub/zjhpublic/G00306201/201606/t20160617_298995.htm" TargetMode="External" /><Relationship Type="http://schemas.openxmlformats.org/officeDocument/2006/relationships/hyperlink" Id="rId40" Target="http://www.customs.gov.cn/publish/portal0/tab49564/info804628.htm" TargetMode="External" /><Relationship Type="http://schemas.openxmlformats.org/officeDocument/2006/relationships/hyperlink" Id="rId55" Target="http://www.gov.cn/zhengce/content/2016-06/20/content_5083778.htm" TargetMode="External" /><Relationship Type="http://schemas.openxmlformats.org/officeDocument/2006/relationships/hyperlink" Id="rId52" Target="http://www.gov.cn/zhengce/content/2016-06/21/content_5084083.htm" TargetMode="External" /><Relationship Type="http://schemas.openxmlformats.org/officeDocument/2006/relationships/hyperlink" Id="rId25" Target="http://www.safe.gov.cn/resources/wcmpages//wps/wcm/connect/safe_web_store/safe_web/zcfg/gjszywhtj/node_zcfg_gjsz_store/a44170004d334cd58f6a8fe39639345e/" TargetMode="External" /><Relationship Type="http://schemas.openxmlformats.org/officeDocument/2006/relationships/hyperlink" Id="rId58" Target="http://www.sdpc.gov.cn/gzdt/201606/t20160620_807817.html" TargetMode="External" /><Relationship Type="http://schemas.openxmlformats.org/officeDocument/2006/relationships/hyperlink" Id="rId37" Target="http://www.szgs.gov.cn/art/2016/6/21/art_303_44103.html" TargetMode="External" /><Relationship Type="http://schemas.openxmlformats.org/officeDocument/2006/relationships/hyperlink" Id="rId7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第505期 - 2016年06月24日</dc:title>
  <dc:creator/>
</cp:coreProperties>
</file>