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第506期</w:t>
      </w:r>
      <w:r>
        <w:t xml:space="preserve"> </w:t>
      </w:r>
      <w:r>
        <w:t xml:space="preserve">-</w:t>
      </w:r>
      <w:r>
        <w:t xml:space="preserve"> </w:t>
      </w:r>
      <w:r>
        <w:t xml:space="preserve">2016年07月04日</w:t>
      </w:r>
    </w:p>
    <w:p>
      <w:hyperlink r:id="rId21">
        <w:r>
          <w:rPr>
            <w:rStyle w:val="Link"/>
          </w:rPr>
          <w:t xml:space="preserve">网络版</w:t>
        </w:r>
      </w:hyperlink>
    </w:p>
    <w:p>
      <w:pPr>
        <w:pStyle w:val="Heading1"/>
      </w:pPr>
      <w:bookmarkStart w:id="22" w:name="中国法讯第506期"/>
      <w:bookmarkEnd w:id="22"/>
      <w:r>
        <w:t xml:space="preserve">中国法讯第506期</w:t>
      </w:r>
    </w:p>
    <w:p>
      <w:pPr>
        <w:pStyle w:val="Heading2"/>
      </w:pPr>
      <w:bookmarkStart w:id="23" w:name="资本市场"/>
      <w:bookmarkEnd w:id="23"/>
      <w:r>
        <w:t xml:space="preserve">资本市场</w:t>
      </w:r>
    </w:p>
    <w:p>
      <w:pPr>
        <w:pStyle w:val="Heading3"/>
      </w:pPr>
      <w:bookmarkStart w:id="24" w:name="上清所发布银行间市场集中清算业务指南"/>
      <w:bookmarkEnd w:id="24"/>
      <w:r>
        <w:t xml:space="preserve">上清所发布银行间市场集中清算业务指南</w:t>
      </w:r>
    </w:p>
    <w:p>
      <w:r>
        <w:t xml:space="preserve">近日，上海清算所对外公布《银行间市场集中清算业务指南》（下称《指南》）。</w:t>
      </w:r>
    </w:p>
    <w:p>
      <w:r>
        <w:t xml:space="preserve">《指南》对债券净额、人民币利率互换、外汇询价、外汇竞价、标准债券远期业务的指南加以整合，适用于上清所开展的银行间市场集中清算业务。以债券净额清算业务为例，《指南》规定了债券净额清算业务要素、日间日终清算处理、结算处理、债券净额清算业务相关公式。其中，可纳入净额清算的债券交易要素包括：一是交易双方为净额参与者；二是质押的债券是合资格债券；三是质押式回购中质押券价值不低于该笔回购的到期结算金额；四是交易提交时间符合清算截止时间要求。此外，《指南》还明确了集中清算业务所涉及的概念及流程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证协修订证券市场资信评级机构评级业务实施细则"/>
      <w:bookmarkEnd w:id="27"/>
      <w:r>
        <w:t xml:space="preserve">中证协修订证券市场资信评级机构评级业务实施细则</w:t>
      </w:r>
    </w:p>
    <w:p>
      <w:r>
        <w:t xml:space="preserve">近日，中证协发布《关于修订〈证券市场资信评级机构评级业务实施细则（试行）〉部分条款的决定》（《决定》），自发布之日施行。</w:t>
      </w:r>
    </w:p>
    <w:p>
      <w:r>
        <w:t xml:space="preserve">《决定》将第九条第（二）项修改为“评级对象为企业主体时，相关基础资料、生产经营和财务资料。包括企业税务登记文件、公司章程、股东信息及持股比例、公司治理情况、组织架构、人员状况、生产经营数据、设备技术资料、研发情况、管理制度文件、经营计划与总结报告、发展规划、公司及主要子公司财务审计报告、授信情况，以及公司及其控股股东、实际控制人、保证人在中国证监会证券期货市场失信信息公开查询平台、国家工商总局企业信息公示系统、国家税务总局的重大税收违法案件信息公布栏、最高人民法院失信被执行人信息查询平台、中国人民银行征信系统等主要信用信息平台中的相关记录等”。</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w:t>
      </w:r>
    </w:p>
    <w:p>
      <w:pPr>
        <w:pStyle w:val="Heading2"/>
      </w:pPr>
      <w:bookmarkStart w:id="31" w:name="税收"/>
      <w:bookmarkEnd w:id="31"/>
      <w:r>
        <w:t xml:space="preserve">税收</w:t>
      </w:r>
    </w:p>
    <w:p>
      <w:pPr>
        <w:pStyle w:val="Heading3"/>
      </w:pPr>
      <w:bookmarkStart w:id="32" w:name="海关总署明确中韩自贸协定进出口货物报关单填制要求"/>
      <w:bookmarkEnd w:id="32"/>
      <w:r>
        <w:t xml:space="preserve">海关总署明确中韩自贸协定进出口货物报关单填制要求</w:t>
      </w:r>
    </w:p>
    <w:p>
      <w:r>
        <w:t xml:space="preserve">日前，海关总署发布2016年第39号公告，确定了中韩自贸协定项下进出口货物报关单填制要求及相关事宜。</w:t>
      </w:r>
    </w:p>
    <w:p>
      <w:r>
        <w:t xml:space="preserve">公告称，自7月1日起，进口货物收货人或其代理人须按以下要求填制进口货物报关单：一、在“随附单证栏”的“随附单证代码栏”填写“Y”，在“随附单证栏”的“随附单证编号栏”填写“&lt;19&gt;原产地证书编号”，在“单证对应关系表”中填写进口报关单申报商品与原产地证书商品之间的对应关系。二、进口报关单上申报的原产地证书编号与原产地证书所载编号一致。三、进口报关单上申报商品的成交计量单位与原产地证书上对应商品的计量单位一致。四、进口报关单上申报商品的数量不能大于原产地证书上对应商品的数量。五、进口报关单上的申报日期应在原产地证书的有效期内。六、原产地证书所列的所有商品应为同一批次货物。</w:t>
      </w:r>
    </w:p>
    <w:p>
      <w:hyperlink r:id="rId33">
        <w:r>
          <w:rPr>
            <w:rStyle w:val="Link"/>
          </w:rPr>
          <w:t xml:space="preserve">来源</w:t>
        </w:r>
      </w:hyperlink>
      <w:r>
        <w:t xml:space="preserve"> </w:t>
      </w:r>
      <w:r>
        <w:t xml:space="preserve">(</w:t>
      </w:r>
      <w:hyperlink r:id="rId34">
        <w:r>
          <w:rPr>
            <w:rStyle w:val="Link"/>
          </w:rPr>
          <w:t xml:space="preserve">副本</w:t>
        </w:r>
      </w:hyperlink>
      <w:r>
        <w:t xml:space="preserve">) (</w:t>
      </w:r>
      <w:hyperlink r:id="rId35">
        <w:r>
          <w:rPr>
            <w:rStyle w:val="Link"/>
          </w:rPr>
          <w:t xml:space="preserve">副本</w:t>
        </w:r>
      </w:hyperlink>
      <w:r>
        <w:t xml:space="preserve">)</w:t>
      </w:r>
    </w:p>
    <w:p>
      <w:pPr>
        <w:pStyle w:val="Heading3"/>
      </w:pPr>
      <w:bookmarkStart w:id="36" w:name="税总发布修订后资源税纳税申报表"/>
      <w:bookmarkEnd w:id="36"/>
      <w:r>
        <w:t xml:space="preserve">税总发布修订后《资源税纳税申报表》</w:t>
      </w:r>
    </w:p>
    <w:p>
      <w:r>
        <w:t xml:space="preserve">近日，国税总局下发《关于发布修订后的〈资源税纳税申报表〉的公告》（下称《公告》），相关规定自7月1日施行。</w:t>
      </w:r>
    </w:p>
    <w:p>
      <w:r>
        <w:t xml:space="preserve">《公告》称，国税总局对原资源税纳税申报表进行了修订，形成了《资源税纳税申报表》、《资源税纳税申报表附表（一）》（原矿类税目适用）、《资源税纳税申报表附表（二）》（精矿类税目适用）、《资源税纳税申报表附表（三）》（减免税明细）。其修订的主要内容包括“将原资源税两张纳税申报表修订为一张主表、三张附表，既适用于从价定率征收的纳税人填报，也适用于从量定额征收的纳税人填报”、“将全部资源税税目（水资源除外）按征税对象归纳为原矿和精矿两大类税目填报”等。</w:t>
      </w:r>
    </w:p>
    <w:p>
      <w:hyperlink r:id="rId37">
        <w:r>
          <w:rPr>
            <w:rStyle w:val="Link"/>
          </w:rPr>
          <w:t xml:space="preserve">来源</w:t>
        </w:r>
      </w:hyperlink>
      <w:r>
        <w:t xml:space="preserve"> </w:t>
      </w:r>
      <w:r>
        <w:t xml:space="preserve">(</w:t>
      </w:r>
      <w:hyperlink r:id="rId38">
        <w:r>
          <w:rPr>
            <w:rStyle w:val="Link"/>
          </w:rPr>
          <w:t xml:space="preserve">副本</w:t>
        </w:r>
      </w:hyperlink>
      <w:r>
        <w:t xml:space="preserve">) (</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四部门联合出台京津冀产业转移指南"/>
      <w:bookmarkEnd w:id="41"/>
      <w:r>
        <w:t xml:space="preserve">四部门联合出台《京津冀产业转移指南》</w:t>
      </w:r>
    </w:p>
    <w:p>
      <w:r>
        <w:t xml:space="preserve">日前，工信部会同京津冀三地政府发布《京津冀产业转移指南》（下称《指南》）。</w:t>
      </w:r>
    </w:p>
    <w:p>
      <w:r>
        <w:t xml:space="preserve">《指南》提出，坚持产业转移与产业转型升级、创新能力提升相结合，与培育产业集群竞争力、适应资源环境承载力相结合，不断调整优化区域产业布局，构建“一个中心、五区五带五链、若干特色基地”的产业发展格局。《指南》明确，“一个中心”即打造一个科技创新中心：依托北京的科技和人才资源优势，打造具有全球影响力的科技创新中心和战略性新兴产业策源地，承担京津冀地区产业研发、设计、服务等功能，辐射全国；以中关村国家自主创新示范区为主体，重点提升创新能力，推进高端共性技术研发和关键核心部件研制，加快工业设计、信息服务、咨询等生产性服务业发展。</w:t>
      </w:r>
    </w:p>
    <w:p>
      <w:hyperlink r:id="rId42">
        <w:r>
          <w:rPr>
            <w:rStyle w:val="Link"/>
          </w:rPr>
          <w:t xml:space="preserve">来源</w:t>
        </w:r>
      </w:hyperlink>
      <w:r>
        <w:t xml:space="preserve"> </w:t>
      </w:r>
      <w:r>
        <w:t xml:space="preserve">(</w:t>
      </w:r>
      <w:hyperlink r:id="rId43">
        <w:r>
          <w:rPr>
            <w:rStyle w:val="Link"/>
          </w:rPr>
          <w:t xml:space="preserve">副本</w:t>
        </w:r>
      </w:hyperlink>
      <w:r>
        <w:t xml:space="preserve">) (</w:t>
      </w:r>
      <w:hyperlink r:id="rId44">
        <w:r>
          <w:rPr>
            <w:rStyle w:val="Link"/>
          </w:rPr>
          <w:t xml:space="preserve">副本</w:t>
        </w:r>
      </w:hyperlink>
      <w:r>
        <w:t xml:space="preserve">)</w:t>
      </w:r>
    </w:p>
    <w:p>
      <w:pPr>
        <w:pStyle w:val="Heading3"/>
      </w:pPr>
      <w:bookmarkStart w:id="45" w:name="国办发文清理规范工程建设领域保证金"/>
      <w:bookmarkEnd w:id="45"/>
      <w:r>
        <w:t xml:space="preserve">国办发文清理规范工程建设领域保证金</w:t>
      </w:r>
    </w:p>
    <w:p>
      <w:r>
        <w:t xml:space="preserve">日前，国务院办公厅印发《关于清理规范工程建设领域保证金的通知》（下称《通知》）。</w:t>
      </w:r>
    </w:p>
    <w:p>
      <w:r>
        <w:t xml:space="preserve">《通知》从七方面提出具体措施：一是全面清理各类保证金；二是转变保证金缴纳方式；三是按时返还保证金；四是严格工程质量保证金管理；五是实行农民工工资保证金差异化缴存办法；六是规范保证金管理制度；七是严禁新设保证金项目。《通知》规定，对建筑业企业在工程建设中需缴纳的保证金，除依法依规设立的投标保证金、履约保证金、工程质量保证金、农民工工资保证金外，其他一律取消，取消的保证金自《通知》下发之日起一律停收。《通知》还要求，对取消的保证金，各地要于2016年底前退还相关企业；对保留的保证金，要确保按时返还。</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家网信办发布app管理新规"/>
      <w:bookmarkEnd w:id="48"/>
      <w:r>
        <w:t xml:space="preserve">国家网信办发布APP管理新规</w:t>
      </w:r>
    </w:p>
    <w:p>
      <w:r>
        <w:t xml:space="preserve">日前，国家网信办出台《移动互联网应用程序信息服务管理规定》（下称《规定》），自8月1日施行。</w:t>
      </w:r>
    </w:p>
    <w:p>
      <w:r>
        <w:t xml:space="preserve">《规定》明确，移动互联网应用程序提供者应严格落实信息安全管理责任，履行包括“按‘后台实名、前台自愿’原则，对注册用户进行基于移动电话号码等真实身份信息认证”、“建立健全用户信息安全保护机制，收集、使用用户个人信息应遵循合法、正当、必要的原则，明示收集使用信息的目的、方式和范围，并经用户同意”在内的六项义务。《规定》还要求，移动互联网应用程序提供者和互联网应用商店服务提供者不得利用应用程序从事危害国家安全、扰乱社会秩序、侵犯他人合法权益等法律法规禁止的活动，不得利用应用程序制作、复制、发布、传播法律法规禁止的信息内容。</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家网信办发布互联网信息搜索服务管理规定"/>
      <w:bookmarkEnd w:id="51"/>
      <w:r>
        <w:t xml:space="preserve">国家网信办发布互联网信息搜索服务管理规定</w:t>
      </w:r>
    </w:p>
    <w:p>
      <w:r>
        <w:t xml:space="preserve">日前，国家网信办出台《互联网信息搜索服务管理规定》（下称《规定》），自2016年8月1日施行。</w:t>
      </w:r>
    </w:p>
    <w:p>
      <w:r>
        <w:t xml:space="preserve">《规定》明确，国家网信办负责全国互联网信息搜索服务的监督管理执法工作；地方网信办依据职责负责本行政区域内互联网信息搜索服务的监督管理执法工作。《规定》要求，互联网信息搜索服务提供者应落实主体责任，建立健全信息审核、公共信息实时巡查等信息安全管理制度，不得以链接、摘要、联想词等形式提供含有法律法规禁止的信息内容；提供付费搜索信息服务应当依法查验客户有关资质，明确付费搜索信息页面比例上限，醒目区分自然搜索结果与付费搜索信息，对付费搜索信息逐条加注显著标识；不得通过断开相关链接等手段，牟取不正当利益。</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办发文促进和规范健康医疗大数据应用发展"/>
      <w:bookmarkEnd w:id="54"/>
      <w:r>
        <w:t xml:space="preserve">国办发文促进和规范健康医疗大数据应用发展</w:t>
      </w:r>
    </w:p>
    <w:p>
      <w:r>
        <w:t xml:space="preserve">近日，国务院办公厅印发《关于促进和规范健康医疗大数据应用发展的指导意见》（下称《意见》）。</w:t>
      </w:r>
    </w:p>
    <w:p>
      <w:r>
        <w:t xml:space="preserve">《意见》提出，到2020年，建成国家医疗卫生信息分级开放应用平台，依托现有资源建成100个区域临床医学数据示范中心，基本实现城乡居民拥有规范化的电子健康档案和功能完备的健康卡，适应国情的健康医疗大数据应用发展模式基本建立，健康医疗大数据产业体系初步形成等。据此，《意见》从夯实应用基础、全面深化应用、规范和推动“互联网+健康医疗”服务、加强保障体系建设等四方面部署了14项重点任务和重大工程。其中，《意见》明确，建设统一权威、互联互通的人口健康信息平台；推动健康医疗大数据资源共享开放；推进健康医疗行业治理、临床和科研以及公共卫生的大数据应用等。</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苏宁环球拟30亿元收购佛手湖公司100股权"/>
      <w:bookmarkEnd w:id="58"/>
      <w:r>
        <w:t xml:space="preserve">苏宁环球拟30亿元收购佛手湖公司100%股权</w:t>
      </w:r>
    </w:p>
    <w:p>
      <w:r>
        <w:t xml:space="preserve">苏宁环球6月30日公告，拟以自有资金人民币30.07亿元向控股股东苏宁环球集团收购其持有的佛手湖公司100%的股权。本次交易完成后，佛手湖公司将成为苏宁环球的全资子公司。本次交易构成关联交易，不构成重大资产重组。</w:t>
      </w:r>
    </w:p>
    <w:p>
      <w:r>
        <w:t xml:space="preserve">据了解，佛手湖公司系苏宁环球控股股东苏宁环球集团全资子公司，现有注册资本人民币1.3亿元。苏宁环球集团于2014年6月进一步承诺最晚不迟于2016年6月30日完成将佛手湖度假村股权置入上市公司的工作。</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盛和资源跨境收购稀土公司"/>
      <w:bookmarkEnd w:id="61"/>
      <w:r>
        <w:t xml:space="preserve">盛和资源跨境收购稀土公司</w:t>
      </w:r>
    </w:p>
    <w:p>
      <w:r>
        <w:t xml:space="preserve">6月29日晚间，盛和资源公告称，公司控股子公司乐山盛和稀土股份有限公司的全资子公司盛和资源（新加坡）有限公司拟收购越南稀土有限公司90%的股权。</w:t>
      </w:r>
    </w:p>
    <w:p>
      <w:r>
        <w:t xml:space="preserve">公告显示，乐山盛和的全资子公司盛和资源（新加坡）有限公司、盛唐商事株式会社、中央电气工业株式会社等方面拟签署股权转让协议，协议约定盛和资源新加坡公司与盛唐商事株式会社共同收购中央电气持有的越南稀土有限公司100%的股权，其中盛和资源新加坡公司购买90%股权，盛唐商事株式会社购买10%的股权。</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中文在线860万美元继续收购ata股权"/>
      <w:bookmarkEnd w:id="64"/>
      <w:r>
        <w:t xml:space="preserve">中文在线860万美元继续收购ATA股权</w:t>
      </w:r>
    </w:p>
    <w:p>
      <w:r>
        <w:t xml:space="preserve">中文在线6月27日公告，公司全资子公司中文在线教育集团有限公司（下称“教育集团”）拟以自有资金860万美元收购马肖风持有的 JOINGEAR LIMITED 11.66%的股权。</w:t>
      </w:r>
    </w:p>
    <w:p>
      <w:r>
        <w:t xml:space="preserve">此前，教育集团已经以2300万美元投资取得JOINGEAR LIMITED 38.33%的股权，JOINGEAR LIMITED 使用上述资金收购 ATA Inc.（Cayman）（下称“ATA”）31.68%股权。</w:t>
      </w:r>
    </w:p>
    <w:p>
      <w:r>
        <w:t xml:space="preserve">此次收购完成后，教育集团将持有JOINGEAR LIMITED 49.99%的股权，JOINGEAR LIMITED 持有ATA 40.2%的股权，即教育集团将间接持有ATA总计20.09%股权。</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7">
        <w:r>
          <w:rPr>
            <w:rStyle w:val="Link"/>
          </w:rPr>
          <w:t xml:space="preserve">unsubscribe@charltonslaw.com</w:t>
        </w:r>
      </w:hyperlink>
    </w:p>
    <w:p>
      <w:r>
        <w:rPr>
          <w:b/>
        </w:rPr>
        <w:t xml:space="preserve">易周律师行 - 法讯 - 中国 - 第506期 - 2016年07月04日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1b639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6" Target="12.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4" Target="3.pdf" TargetMode="External" /><Relationship Type="http://schemas.openxmlformats.org/officeDocument/2006/relationships/hyperlink" Id="rId35" Target="3a.pdf" TargetMode="External" /><Relationship Type="http://schemas.openxmlformats.org/officeDocument/2006/relationships/hyperlink" Id="rId38" Target="4.pdf" TargetMode="External" /><Relationship Type="http://schemas.openxmlformats.org/officeDocument/2006/relationships/hyperlink" Id="rId39" Target="4a.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7"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65" Target="http://epaper.stcn.com/paper/zqsb/html/2016-06/27/content_842134.htm" TargetMode="External" /><Relationship Type="http://schemas.openxmlformats.org/officeDocument/2006/relationships/hyperlink" Id="rId59" Target="http://epaper.stcn.com/paper/zqsb/html/epaper/index/content_843879.htm" TargetMode="External" /><Relationship Type="http://schemas.openxmlformats.org/officeDocument/2006/relationships/hyperlink" Id="rId62" Target="http://epaper.stcn.com/paper/zqsb/html/epaper/index/content_843913.htm" TargetMode="External" /><Relationship Type="http://schemas.openxmlformats.org/officeDocument/2006/relationships/hyperlink" Id="rId52" Target="http://www.cac.gov.cn/2016-06/25/c_1119109085.htm" TargetMode="External" /><Relationship Type="http://schemas.openxmlformats.org/officeDocument/2006/relationships/hyperlink" Id="rId49" Target="http://www.cac.gov.cn/2016-06/28/c_1119123114.htm" TargetMode="External" /><Relationship Type="http://schemas.openxmlformats.org/officeDocument/2006/relationships/hyperlink" Id="rId21" Target="http://www.charltonslaw.com.cn/china-news-alerts-cn-issue-506/" TargetMode="External" /><Relationship Type="http://schemas.openxmlformats.org/officeDocument/2006/relationships/hyperlink" Id="rId37" Target="http://www.chinatax.gov.cn/n810341/n810755/c2185564/content.html" TargetMode="External" /><Relationship Type="http://schemas.openxmlformats.org/officeDocument/2006/relationships/hyperlink" Id="rId33" Target="http://www.customs.gov.cn/publish/portal0/tab49564/info805663.htm" TargetMode="External" /><Relationship Type="http://schemas.openxmlformats.org/officeDocument/2006/relationships/hyperlink" Id="rId55" Target="http://www.gov.cn/zhengce/content/2016-06/24/content_5085091.htm" TargetMode="External" /><Relationship Type="http://schemas.openxmlformats.org/officeDocument/2006/relationships/hyperlink" Id="rId46" Target="http://www.gov.cn/zhengce/content/2016-06/27/content_5085975.htm" TargetMode="External" /><Relationship Type="http://schemas.openxmlformats.org/officeDocument/2006/relationships/hyperlink" Id="rId42" Target="http://www.miit.gov.cn/n1146295/n1652858/n1652930/n3757016/c4971743/content.html" TargetMode="External" /><Relationship Type="http://schemas.openxmlformats.org/officeDocument/2006/relationships/hyperlink" Id="rId28" Target="http://www.sac.net.cn/tzgg/201606/t20160624_128230.html" TargetMode="External" /><Relationship Type="http://schemas.openxmlformats.org/officeDocument/2006/relationships/hyperlink" Id="rId25" Target="http://www.shclearing.com/cpyyw/tzgg/201606/t20160628_164563.html" TargetMode="External" /><Relationship Type="http://schemas.openxmlformats.org/officeDocument/2006/relationships/hyperlink" Id="rId6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6" Target="12.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4" Target="3.pdf" TargetMode="External" /><Relationship Type="http://schemas.openxmlformats.org/officeDocument/2006/relationships/hyperlink" Id="rId35" Target="3a.pdf" TargetMode="External" /><Relationship Type="http://schemas.openxmlformats.org/officeDocument/2006/relationships/hyperlink" Id="rId38" Target="4.pdf" TargetMode="External" /><Relationship Type="http://schemas.openxmlformats.org/officeDocument/2006/relationships/hyperlink" Id="rId39" Target="4a.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7"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65" Target="http://epaper.stcn.com/paper/zqsb/html/2016-06/27/content_842134.htm" TargetMode="External" /><Relationship Type="http://schemas.openxmlformats.org/officeDocument/2006/relationships/hyperlink" Id="rId59" Target="http://epaper.stcn.com/paper/zqsb/html/epaper/index/content_843879.htm" TargetMode="External" /><Relationship Type="http://schemas.openxmlformats.org/officeDocument/2006/relationships/hyperlink" Id="rId62" Target="http://epaper.stcn.com/paper/zqsb/html/epaper/index/content_843913.htm" TargetMode="External" /><Relationship Type="http://schemas.openxmlformats.org/officeDocument/2006/relationships/hyperlink" Id="rId52" Target="http://www.cac.gov.cn/2016-06/25/c_1119109085.htm" TargetMode="External" /><Relationship Type="http://schemas.openxmlformats.org/officeDocument/2006/relationships/hyperlink" Id="rId49" Target="http://www.cac.gov.cn/2016-06/28/c_1119123114.htm" TargetMode="External" /><Relationship Type="http://schemas.openxmlformats.org/officeDocument/2006/relationships/hyperlink" Id="rId21" Target="http://www.charltonslaw.com.cn/china-news-alerts-cn-issue-506/" TargetMode="External" /><Relationship Type="http://schemas.openxmlformats.org/officeDocument/2006/relationships/hyperlink" Id="rId37" Target="http://www.chinatax.gov.cn/n810341/n810755/c2185564/content.html" TargetMode="External" /><Relationship Type="http://schemas.openxmlformats.org/officeDocument/2006/relationships/hyperlink" Id="rId33" Target="http://www.customs.gov.cn/publish/portal0/tab49564/info805663.htm" TargetMode="External" /><Relationship Type="http://schemas.openxmlformats.org/officeDocument/2006/relationships/hyperlink" Id="rId55" Target="http://www.gov.cn/zhengce/content/2016-06/24/content_5085091.htm" TargetMode="External" /><Relationship Type="http://schemas.openxmlformats.org/officeDocument/2006/relationships/hyperlink" Id="rId46" Target="http://www.gov.cn/zhengce/content/2016-06/27/content_5085975.htm" TargetMode="External" /><Relationship Type="http://schemas.openxmlformats.org/officeDocument/2006/relationships/hyperlink" Id="rId42" Target="http://www.miit.gov.cn/n1146295/n1652858/n1652930/n3757016/c4971743/content.html" TargetMode="External" /><Relationship Type="http://schemas.openxmlformats.org/officeDocument/2006/relationships/hyperlink" Id="rId28" Target="http://www.sac.net.cn/tzgg/201606/t20160624_128230.html" TargetMode="External" /><Relationship Type="http://schemas.openxmlformats.org/officeDocument/2006/relationships/hyperlink" Id="rId25" Target="http://www.shclearing.com/cpyyw/tzgg/201606/t20160628_164563.html" TargetMode="External" /><Relationship Type="http://schemas.openxmlformats.org/officeDocument/2006/relationships/hyperlink" Id="rId6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第506期 - 2016年07月04日</dc:title>
  <dc:creator/>
</cp:coreProperties>
</file>