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第507期</w:t>
      </w:r>
      <w:r>
        <w:t xml:space="preserve"> </w:t>
      </w:r>
      <w:r>
        <w:t xml:space="preserve">-</w:t>
      </w:r>
      <w:r>
        <w:t xml:space="preserve"> </w:t>
      </w:r>
      <w:r>
        <w:t xml:space="preserve">2016年07月11日</w:t>
      </w:r>
    </w:p>
    <w:p>
      <w:hyperlink r:id="rId21">
        <w:r>
          <w:rPr>
            <w:rStyle w:val="Link"/>
          </w:rPr>
          <w:t xml:space="preserve">网络版</w:t>
        </w:r>
      </w:hyperlink>
    </w:p>
    <w:p>
      <w:pPr>
        <w:pStyle w:val="Heading1"/>
      </w:pPr>
      <w:bookmarkStart w:id="22" w:name="中国法讯第507期"/>
      <w:bookmarkEnd w:id="22"/>
      <w:r>
        <w:t xml:space="preserve">中国法讯第507期</w:t>
      </w:r>
    </w:p>
    <w:p>
      <w:pPr>
        <w:pStyle w:val="Heading2"/>
      </w:pPr>
      <w:bookmarkStart w:id="23" w:name="资本市场"/>
      <w:bookmarkEnd w:id="23"/>
      <w:r>
        <w:t xml:space="preserve">资本市场</w:t>
      </w:r>
    </w:p>
    <w:p>
      <w:pPr>
        <w:pStyle w:val="Heading3"/>
      </w:pPr>
      <w:bookmarkStart w:id="24" w:name="国办八举措促进民间投资健康发展"/>
      <w:bookmarkEnd w:id="24"/>
      <w:r>
        <w:t xml:space="preserve">国办八举措促进民间投资健康发展</w:t>
      </w:r>
    </w:p>
    <w:p>
      <w:r>
        <w:t xml:space="preserve">近日，国务院办公厅下发《关于进一步做好民间投资有关工作的通知》（下称《通知》）。</w:t>
      </w:r>
    </w:p>
    <w:p>
      <w:r>
        <w:t xml:space="preserve">《通知》提出，继续深化简政放权、放管结合、优化服务改革，努力营造一视同仁的公平竞争市场环境，着力缓解融资难融资贵问题，切实降低企业成本负担等措施。《通知》要求，抓紧建立市场准入负面清单制度，进一步放开民用机场、基础电信运营、油气勘探开发等领域准入，在基础设施和公用事业等重点领域去除各类显性或隐性门槛，在医疗、养老、教育等民生领域出台有效举措，促进公平竞争。《通知》还强调，进一步抓好固定资产加速折旧、小微企业所得税优惠、阶段性降低“五险一金”费率等政策落实，坚决砍掉不合理收费和中介服务环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两部门发文强化企业国有资产交易监管"/>
      <w:bookmarkEnd w:id="27"/>
      <w:r>
        <w:t xml:space="preserve">两部门发文强化企业国有资产交易监管</w:t>
      </w:r>
    </w:p>
    <w:p>
      <w:r>
        <w:t xml:space="preserve">日前，国务院国资委、财政部联合出台《企业国有资产交易监督管理办法》（下称《办法》），自公布之日施行。</w:t>
      </w:r>
    </w:p>
    <w:p>
      <w:r>
        <w:t xml:space="preserve">《办法》包括总则、企业产权转让、企业增资、企业资产转让、监督管理、法律责任等内容，共七章67条，对国家出资企业产权转让、增资、资产转让等国有资产交易行为作出详细规定。其中，对于企业产权转让，《办法》规定，国资监管机构负责审核国家出资企业的产权转让事项，因产权转让致使国家不再拥有所出资企业控股权的，须由国资监管机构报本级政府批准。关于国有出资企业子企业的产权转让，《办法》明确，对主业处于关系国家安全、国民经济命脉的重要行业和关键领域，主要承担重大专项任务子企业的产权转让，须由国家出资企业报同级国资监管机构批准。</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保监会发布保险资金间接投资基础设施项目管理办法"/>
      <w:bookmarkEnd w:id="31"/>
      <w:r>
        <w:t xml:space="preserve">保监会发布保险资金间接投资基础设施项目管理办法</w:t>
      </w:r>
    </w:p>
    <w:p>
      <w:r>
        <w:t xml:space="preserve">近日，保监会修订发布《保险资金间接投资基础设施项目管理办法》（下称《办法》），自8月1日施行。</w:t>
      </w:r>
    </w:p>
    <w:p>
      <w:r>
        <w:t xml:space="preserve">《办法》去掉了原办法名称中“试点”二字，其修订内容包括：一是简化行政许可。明确取消了相关当事人业务资质审批、投资计划产品发行备案、保险机构投资事项审批等许可事项，修订后已无行政许可事项规定。二是拓宽投资空间。放宽保险资金可投资基础设施项目的行业范围，增加政府和社会资本合作（PPP）等可行投资模式。三是强化风险管控。进一步完善相关当事人职责，建立受托人风险责任人机制、净资本管理机制和风险准备金机制，落实市场主体风控责任。四是完善制度规范。调整完善了相关条款表述，同时整合信息披露内容和披露主体的要求，规范信息披露行为。</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两部门发文扩大金融同业免征增值税范围"/>
      <w:bookmarkEnd w:id="35"/>
      <w:r>
        <w:t xml:space="preserve">两部门发文扩大金融同业免征增值税范围</w:t>
      </w:r>
    </w:p>
    <w:p>
      <w:r>
        <w:t xml:space="preserve">日前，财政部、国税总局联合发出《关于金融机构同业往来等增值税政策的补充通知》（下称《通知》），自2016年5月1日执行。</w:t>
      </w:r>
    </w:p>
    <w:p>
      <w:r>
        <w:t xml:space="preserve">《通知》将同业存款、同业借款、同业代付、同业存单、买断式买入返售金融产品以及持有金融债券纳入“金融同业往来”适用范围，并对每项业务进行了定义，相关业务利息收入将可免征增值税。《通知》还规定，境内银行与其境外的总机构、母公司之间，以及境内银行与其境外的分支机构、全资子公司之间的资金往来业务，属于《营业税改征增值税试点过渡政策的规定》第一条第（二十三）款第2项所称的银行联行往来业务。</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税总局制发涉税信息查询管理办法"/>
      <w:bookmarkEnd w:id="38"/>
      <w:r>
        <w:t xml:space="preserve">国税总局制发涉税信息查询管理办法</w:t>
      </w:r>
    </w:p>
    <w:p>
      <w:r>
        <w:t xml:space="preserve">近日，国税总局发布《涉税信息查询管理办法》（下称《办法》），自发布之日施行。</w:t>
      </w:r>
    </w:p>
    <w:p>
      <w:r>
        <w:t xml:space="preserve">《办法》适用于社会公众查询依法公开涉税信息以及纳税人查询自身的各类涉税信息，其主要明确了如下内容：一、社会公众可通过公开渠道自助查询公开涉税信息，纳税人可经身份认证和识别通过自助渠道查询自身涉税信息。二、纳税人向税务机关申请书面查询以及委托他人代为申请书面查询需要报送的资料。三、纳税人可要求税务机关出具书面查询结果以及书面结果的文书样式。四、纳税人对查询结果存在异议应及时与税务机关沟通并进行核实处理，以及申请核实需要报送的资料。</w:t>
      </w:r>
    </w:p>
    <w:p>
      <w:hyperlink r:id="rId39">
        <w:r>
          <w:rPr>
            <w:rStyle w:val="Link"/>
          </w:rPr>
          <w:t xml:space="preserve">来源</w:t>
        </w:r>
      </w:hyperlink>
      <w:r>
        <w:t xml:space="preserve"> </w:t>
      </w:r>
      <w:r>
        <w:t xml:space="preserve">(</w:t>
      </w:r>
      <w:hyperlink r:id="rId40">
        <w:r>
          <w:rPr>
            <w:rStyle w:val="Link"/>
          </w:rPr>
          <w:t xml:space="preserve">副本</w:t>
        </w:r>
      </w:hyperlink>
      <w:r>
        <w:t xml:space="preserve">) (</w:t>
      </w:r>
      <w:hyperlink r:id="rId41">
        <w:r>
          <w:rPr>
            <w:rStyle w:val="Link"/>
          </w:rPr>
          <w:t xml:space="preserve">副本</w:t>
        </w:r>
      </w:hyperlink>
      <w:r>
        <w:t xml:space="preserve">) (</w:t>
      </w:r>
      <w:hyperlink r:id="rId42">
        <w:r>
          <w:rPr>
            <w:rStyle w:val="Link"/>
          </w:rPr>
          <w:t xml:space="preserve">副本</w:t>
        </w:r>
      </w:hyperlink>
      <w:r>
        <w:t xml:space="preserve">) (</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工商总局调整工商登记前置审批事项目录"/>
      <w:bookmarkEnd w:id="45"/>
      <w:r>
        <w:t xml:space="preserve">工商总局调整工商登记前置审批事项目录</w:t>
      </w:r>
    </w:p>
    <w:p>
      <w:r>
        <w:t xml:space="preserve">日前，工商总局发出《关于调整工商登记前置审批事项目录的通知》（下称《通知》）。</w:t>
      </w:r>
    </w:p>
    <w:p>
      <w:r>
        <w:t xml:space="preserve">《通知》对《工商总局关于严格落实先照后证改革严格执行工商登记前置审批事项的通知》附件《工商登记前置审批事项目录》（下称《目录》）和《企业变更登记、注销登记前置审批指导目录》再次进行了调整。调整后的《目录》保留证券公司设立审批、烟草专卖生产企业许可证核发、烟草专卖批发企业许可证核发3项法律明确的工商登记前置审批事项；保留包括“外商投资企业设立及变更审批”在内的34项国务院决定保留的工商登记前置审批事项。针对每一事项，《目录》均列明了实施机关和设定依据等内容。</w:t>
      </w:r>
    </w:p>
    <w:p>
      <w:hyperlink r:id="rId46">
        <w:r>
          <w:rPr>
            <w:rStyle w:val="Link"/>
          </w:rPr>
          <w:t xml:space="preserve">来源</w:t>
        </w:r>
      </w:hyperlink>
      <w:r>
        <w:t xml:space="preserve"> </w:t>
      </w:r>
      <w:r>
        <w:t xml:space="preserve">(</w:t>
      </w:r>
      <w:hyperlink r:id="rId47">
        <w:r>
          <w:rPr>
            <w:rStyle w:val="Link"/>
          </w:rPr>
          <w:t xml:space="preserve">副本</w:t>
        </w:r>
      </w:hyperlink>
      <w:r>
        <w:t xml:space="preserve">) (</w:t>
      </w:r>
      <w:hyperlink r:id="rId48">
        <w:r>
          <w:rPr>
            <w:rStyle w:val="Link"/>
          </w:rPr>
          <w:t xml:space="preserve">副本</w:t>
        </w:r>
      </w:hyperlink>
      <w:r>
        <w:t xml:space="preserve">)</w:t>
      </w:r>
    </w:p>
    <w:p>
      <w:pPr>
        <w:pStyle w:val="Heading3"/>
      </w:pPr>
      <w:bookmarkStart w:id="49" w:name="四部门发文推进医疗服务价格改革"/>
      <w:bookmarkEnd w:id="49"/>
      <w:r>
        <w:t xml:space="preserve">四部门发文推进医疗服务价格改革</w:t>
      </w:r>
    </w:p>
    <w:p>
      <w:r>
        <w:t xml:space="preserve">近日，国家发改委等四部门联合发布《推进医疗服务价格改革的意见》（下称《意见》）。</w:t>
      </w:r>
    </w:p>
    <w:p>
      <w:r>
        <w:t xml:space="preserve">《意见》明确，医疗服务价格实行分类管理：公立医疗机构提供的基本医疗服务实行政府指导价；公立医疗机构提供的特需医疗服务和其他市场竞争充分、个性化需求较强的医疗服务实行市场调节价；非公立医疗机构提供的医疗服务落实市场调节价政策。《意见》提出，围绕公立医院综合改革，统筹考虑取消药品加成及当地政府补偿政策，同步调整医疗服务价格，重点提高诊疗、手术等体现医务人员技术劳务价值的医疗服务价格，降低大型医用设备检查治疗和检验等价格。在此基础上，通过规范诊疗行为，降低药品、耗材等费用腾出空间，动态调整医疗服务价格。</w:t>
      </w:r>
    </w:p>
    <w:p>
      <w:hyperlink r:id="rId50">
        <w:r>
          <w:rPr>
            <w:rStyle w:val="Link"/>
          </w:rPr>
          <w:t xml:space="preserve">来源</w:t>
        </w:r>
      </w:hyperlink>
      <w:r>
        <w:t xml:space="preserve"> </w:t>
      </w:r>
      <w:r>
        <w:t xml:space="preserve">(</w:t>
      </w:r>
      <w:hyperlink r:id="rId51">
        <w:r>
          <w:rPr>
            <w:rStyle w:val="Link"/>
          </w:rPr>
          <w:t xml:space="preserve">副本</w:t>
        </w:r>
      </w:hyperlink>
      <w:r>
        <w:t xml:space="preserve">) (</w:t>
      </w:r>
      <w:hyperlink r:id="rId52">
        <w:r>
          <w:rPr>
            <w:rStyle w:val="Link"/>
          </w:rPr>
          <w:t xml:space="preserve">副本</w:t>
        </w:r>
      </w:hyperlink>
      <w:r>
        <w:t xml:space="preserve">)</w:t>
      </w:r>
    </w:p>
    <w:p>
      <w:pPr>
        <w:pStyle w:val="Heading3"/>
      </w:pPr>
      <w:bookmarkStart w:id="53" w:name="国办发文推进五证合一一照一码登记制度改革"/>
      <w:bookmarkEnd w:id="53"/>
      <w:r>
        <w:t xml:space="preserve">国办发文推进“五证合一、一照一码”登记制度改革</w:t>
      </w:r>
    </w:p>
    <w:p>
      <w:r>
        <w:t xml:space="preserve">日前，国务院办公厅下发《关于加快推进“五证合一、一照一码”登记制度改革的通知》（下称《通知》）。</w:t>
      </w:r>
    </w:p>
    <w:p>
      <w:r>
        <w:t xml:space="preserve">《通知》对在全面实施工商营业执照、组织机构代码证、税务登记证“三证合一”登记制度改革的基础上，再整合社会保险登记证和统计登记证，实现“五证合一、一照一码”作出部署。《通知》要求，从2016年10月1日起正式实施“五证合一、一照一码”，在更大范围、更深层次实现信息共享和业务协同。据此，《通知》确立了五方面重点任务：一是完善一站式服务工作机制；二是推进部门间信息共享互认；三是做好登记模式转换衔接工作；四是推动“五证合一、一照一码”营业执照广泛应用；五是加强办事窗口能力建设。</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工信部发布促进中小企业发展规划"/>
      <w:bookmarkEnd w:id="56"/>
      <w:r>
        <w:t xml:space="preserve">工信部发布促进中小企业发展规划</w:t>
      </w:r>
    </w:p>
    <w:p>
      <w:r>
        <w:t xml:space="preserve">日前，工信部制发《促进中小企业发展规划（2016－2020年）》（下称《规划》）。</w:t>
      </w:r>
    </w:p>
    <w:p>
      <w:r>
        <w:t xml:space="preserve">《规划》从推进创业兴业、提升创新能力、转型升级、拓展内外市场、职能转变等5个方面提出了促进中小企业发展的主要任务。《规划》围绕提升中小企业创业创新能力提出了“互联网+”小微企业专项行动、“专精特新”中小企业培育工程、服务能力建设工程、产业集群发展能力提升工程、中小企业管理能力提升工程、中小企业国际化促进专项行动6大关键工程与专项行动。其中，“互联网+”小微企业专项行动把提升互联网和信息技术应用能力，推动发展新业态和新模式，加强互联网和信息技术服务支撑作为重点。</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国务院批复京津冀系统推进全面创新改革试验方案"/>
      <w:bookmarkEnd w:id="59"/>
      <w:r>
        <w:t xml:space="preserve">国务院批复京津冀系统推进全面创新改革试验方案</w:t>
      </w:r>
    </w:p>
    <w:p>
      <w:r>
        <w:t xml:space="preserve">近日，国务院下发《关于京津冀系统推进全面创新改革试验方案的批复》（下称《批复》）。</w:t>
      </w:r>
    </w:p>
    <w:p>
      <w:r>
        <w:t xml:space="preserve">《批复》原则同意《京津冀系统推进全面创新改革试验方案》，并指出，围绕促进京津冀协同发展，以促进创新资源合理配置、开放共享、高效利用为主线，以深化科技体制改革为动力，充分发挥北京全国科技创新中心的辐射带动作用，依托中关村国家自主创新示范区、北京市服务业扩大开放综合试点、天津国家自主创新示范区、中国（天津）自由贸易试验区和石（家庄）保（定）廊（坊）地区的国家级高新技术产业开发区及国家级经济技术开发区发展基础和政策先行先试经验，进一步促进京津冀三地创新链、产业链、资金链、政策链深度融合，建立健全区域创新体系，推动形成京津冀协同创新共同体，打造中国经济发展新的支撑带。</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全国人大常委会决定修改节约能源法等六部法律"/>
      <w:bookmarkEnd w:id="62"/>
      <w:r>
        <w:t xml:space="preserve">全国人大常委会决定修改节约能源法等六部法律</w:t>
      </w:r>
    </w:p>
    <w:p>
      <w:r>
        <w:t xml:space="preserve">近日，十二届全国人大常委会第二十一次会议通过《关于修改〈中华人民共和国节约能源法〉等六部法律的决定》（下称《决定》），除对《环境影响评价法》所作修改之外，均自公布之日施行。</w:t>
      </w:r>
    </w:p>
    <w:p>
      <w:r>
        <w:t xml:space="preserve">根据《决定》，对《节约能源法》修改如下：一、将第十五条修改为：“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二、将第六十八条第一款修改为：“负责审批政府投资项目的机关违反本法规定，对不符合强制性节能标准的项目予以批准建设的，对直接负责的主管人员和其他直接责任人员依法给予处分。”</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资产评估首部行业大法获通过"/>
      <w:bookmarkEnd w:id="65"/>
      <w:r>
        <w:t xml:space="preserve">资产评估首部行业大法获通过</w:t>
      </w:r>
    </w:p>
    <w:p>
      <w:r>
        <w:t xml:space="preserve">日前，十二届全国人大常委会第二十一次会议表决通过《中华人民共和国资产评估法》（下称《资产评估法》），自2016年12月1日施行。</w:t>
      </w:r>
    </w:p>
    <w:p>
      <w:r>
        <w:t xml:space="preserve">《资产评估法》共八章五十五条，与之前相比，此次修改突出了国家推进简政放权的改革精神，降低职业资格准入门槛，并重点规范了评估师和评估机构的从业行为，加大对违规行为的惩处力度。《资产评估法》指出，评估专业人员享有“要求委托人提供相关的权属证明、财务会计信息和其他资料，以及为执行公允的评估程序所需的必要协助”等五项权利；同时须履行“对评估活动中使用的有关文件、证明和资料的真实性、准确性、完整性进行核查和验证”等八项义务。在法律责任方面，《资产评估法》规定，评估专业人员违反本法规定构成犯罪的，依法追究刑事责任，终身不得从事评估业务。</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工信部发布新版稀土行业规范条件"/>
      <w:bookmarkEnd w:id="68"/>
      <w:r>
        <w:t xml:space="preserve">工信部发布新版稀土行业规范条件</w:t>
      </w:r>
    </w:p>
    <w:p>
      <w:r>
        <w:t xml:space="preserve">近日，工信部下发《稀土行业规范条件（2016年本）》（下称《规范条件》）和《稀土行业规范条件公告管理办法》，自2016年7月1日实施。</w:t>
      </w:r>
    </w:p>
    <w:p>
      <w:r>
        <w:t xml:space="preserve">《规范条件》包括项目的设立和布局，生产规模、工艺和装备，能源消耗，资源利用，环境保护，产品质量以及安全生产、职业病危害防治、消防和社会责任等内容。其中，根据《规范条件》，开采稀土矿产资源，应依法取得采矿许可证和安全生产许可证，严禁无证、越界开采和超总量控制指标开采。《规范条件》还明确了企业或大型稀土集团生产规模：混合型稀土矿山企业生产规模应不低于20000吨/年（以氧化物计，下同）；氟碳铈矿山企业生产规模应不低于5000吨/年；离子型稀土矿山企业生产规模应不低于500吨/年。</w:t>
      </w:r>
    </w:p>
    <w:p>
      <w:hyperlink r:id="rId69">
        <w:r>
          <w:rPr>
            <w:rStyle w:val="Link"/>
          </w:rPr>
          <w:t xml:space="preserve">来源</w:t>
        </w:r>
      </w:hyperlink>
      <w:r>
        <w:t xml:space="preserve"> </w:t>
      </w:r>
      <w:r>
        <w:t xml:space="preserve">(</w:t>
      </w:r>
      <w:hyperlink r:id="rId70">
        <w:r>
          <w:rPr>
            <w:rStyle w:val="Link"/>
          </w:rPr>
          <w:t xml:space="preserve">副本</w:t>
        </w:r>
      </w:hyperlink>
      <w:r>
        <w:t xml:space="preserve">) (</w:t>
      </w:r>
      <w:hyperlink r:id="rId71">
        <w:r>
          <w:rPr>
            <w:rStyle w:val="Link"/>
          </w:rPr>
          <w:t xml:space="preserve">副本</w:t>
        </w:r>
      </w:hyperlink>
      <w:r>
        <w:t xml:space="preserve">) (</w:t>
      </w:r>
      <w:hyperlink r:id="rId72">
        <w:r>
          <w:rPr>
            <w:rStyle w:val="Link"/>
          </w:rPr>
          <w:t xml:space="preserve">副本</w:t>
        </w:r>
      </w:hyperlink>
      <w:r>
        <w:t xml:space="preserve">)</w:t>
      </w:r>
    </w:p>
    <w:p>
      <w:pPr>
        <w:pStyle w:val="Heading2"/>
      </w:pPr>
      <w:bookmarkStart w:id="73" w:name="并购"/>
      <w:bookmarkEnd w:id="73"/>
      <w:r>
        <w:t xml:space="preserve">并购</w:t>
      </w:r>
    </w:p>
    <w:p>
      <w:pPr>
        <w:pStyle w:val="Heading3"/>
      </w:pPr>
      <w:bookmarkStart w:id="74" w:name="创元科技拟收购两家光伏发电公司"/>
      <w:bookmarkEnd w:id="74"/>
      <w:r>
        <w:t xml:space="preserve">创元科技拟收购两家光伏发电公司</w:t>
      </w:r>
    </w:p>
    <w:p>
      <w:r>
        <w:t xml:space="preserve">创元科技7月7日公告，公司拟以7.95 元/股，向苏州城投、苏州文旅发行不超过6233.96万股股份，拟募集资金不超过4.96亿元，扣除发行费用后用于收购汉寿昊晖太阳能发电有限公司、阿特斯阜宁光伏发电有限公司100%股权并对其增资。</w:t>
      </w:r>
    </w:p>
    <w:p>
      <w:r>
        <w:t xml:space="preserve">创元科技表示，若募集资金投资项目全部按计划顺利实施，公司将初步形成一定规模的光伏发电业务，基本实现公司现有业务与新能源业务协同发展的战略布局。</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天海投资逾390亿收购全球500强企业美国英迈"/>
      <w:bookmarkEnd w:id="77"/>
      <w:r>
        <w:t xml:space="preserve">天海投资逾390亿收购全球500强企业美国英迈</w:t>
      </w:r>
    </w:p>
    <w:p>
      <w:r>
        <w:t xml:space="preserve">继今年2月首次透露拟60亿美元并购全球最大的IT分销商美国英迈公司后，天海投资7月4日晚间揭晓了这笔巨额海外收购方案。本次交易成交金额约为60.09亿美元，而刘益谦控制的国华人寿将作为联合投资方提供40亿元的收购资金。</w:t>
      </w:r>
    </w:p>
    <w:p>
      <w:r>
        <w:t xml:space="preserve">根据交易方案，本次交易将通过GCL和IMI（即“英迈公司”）合并的方式实施，GCL系天海投资为本次收购而设立的子公司，合并后GCL停止存续，IMI作为合并后的存续主体成为天海投资的控股子公司。截至2016年5月18日，IMI原发行在外的1.49亿股普通股将全部注销，原股权激励计划相应终止和取消。IMI原普通股股东将获得38.9美元/股现金对价，原股权激励计划的持有人获得相应偿付。本次交易的成交金额约为60.09亿美元，其中IMI全部普通股价值约为57.78亿美元，公司股权激励计划部分的偿付对价约为2.31亿美元。</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润达医疗2亿收购怡丹生物45股权"/>
      <w:bookmarkEnd w:id="80"/>
      <w:r>
        <w:t xml:space="preserve">润达医疗2亿收购怡丹生物45%股权</w:t>
      </w:r>
    </w:p>
    <w:p>
      <w:r>
        <w:t xml:space="preserve">润达医疗7月4日公告，公司拟收购杭州怡禾投资管理合伙企业持有的杭州怡丹生物技术有限公司45%股权，交易金额为2.16亿元。本次股权转让完成后，润达医疗将成为怡丹生物第一大股东，本次交易事项不构成关联交易。</w:t>
      </w:r>
    </w:p>
    <w:p>
      <w:r>
        <w:t xml:space="preserve">怡丹生物注册资本500万元，2010年3月22日成立，怡丹生物是浙江省地区主要的体外诊断产品流通与服务的企业之一，为浙江省上百家医疗机构提供体外诊断产品和专业技术支持、物流配送等服务，主要产品为体外诊断微生物产品。</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苏宁环球2亿收购美容医院"/>
      <w:bookmarkEnd w:id="83"/>
      <w:r>
        <w:t xml:space="preserve">苏宁环球2亿收购美容医院</w:t>
      </w:r>
    </w:p>
    <w:p>
      <w:r>
        <w:t xml:space="preserve">苏宁环球7月3日晚间发布重组预案，拟作价2.08亿元收购医疗美容医院伊尔美港华80%的股权。这是苏宁环球自今年初与韩国ID健康集团展开合作后，在医疗美容产业的再次出击。</w:t>
      </w:r>
    </w:p>
    <w:p>
      <w:r>
        <w:t xml:space="preserve">根据预案，苏宁环球拟以发行股份及支付现金的方式，向伊尔美投资和港华投资收购其合计持有的伊尔美港华80%的股权，其中40%股权用现金支付，共计支付1.04亿元，其余40%股权拟以发行股份的方式支付，发行价格为10.8元/股，公司需向伊尔美投资发行971.96万股。交易完成后，伊尔美港华将成为苏宁环球的控股子公司，苏宁环球将在房地产开发业务基础上新增医疗美容服务业务，本次交易不构成重大资产重组。</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亿利达逾6亿收购铁城信息"/>
      <w:bookmarkEnd w:id="86"/>
      <w:r>
        <w:t xml:space="preserve">亿利达逾6亿收购铁城信息</w:t>
      </w:r>
    </w:p>
    <w:p>
      <w:r>
        <w:t xml:space="preserve">亿利达7月4日发布重大资产重组预案，拟以发行股份及支付现金相结合的方式收购铁城信息全体股东所持有的铁城信息100%的股权，初步作价6.25亿元。其中，以现金支付4.08亿元，以新发行股份支付2.18亿元，发行价格为13.64 元/股，对应发行股份1594.57万股。同时，亿利达还拟以11.51元/股的价格向不超过10名特定对象募集资金不超过4.28亿元，用于支付交易标的资产的现金对价及中介机构费用等。</w:t>
      </w:r>
    </w:p>
    <w:p>
      <w:r>
        <w:t xml:space="preserve">本次交易前，亿利达主营业务收入主要来自于风机制造。完成收购铁城信息后，亿利达将进入新能源汽车配件领域。公司预计，随着新能源汽车市场的快速发展，该项业务未来将成为公司业务的重要组成部分。</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9">
        <w:r>
          <w:rPr>
            <w:rStyle w:val="Link"/>
          </w:rPr>
          <w:t xml:space="preserve">unsubscribe@charltonslaw.com</w:t>
        </w:r>
      </w:hyperlink>
    </w:p>
    <w:p>
      <w:r>
        <w:rPr>
          <w:b/>
        </w:rPr>
        <w:t xml:space="preserve">易周律师行 - 法讯 - 中国 - 第507期 - 2016年07月11日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7b918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4"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1" Target="13a.pdf" TargetMode="External" /><Relationship Type="http://schemas.openxmlformats.org/officeDocument/2006/relationships/hyperlink" Id="rId72" Target="13b.pdf" TargetMode="External" /><Relationship Type="http://schemas.openxmlformats.org/officeDocument/2006/relationships/hyperlink" Id="rId76" Target="14.pdf" TargetMode="External" /><Relationship Type="http://schemas.openxmlformats.org/officeDocument/2006/relationships/hyperlink" Id="rId79" Target="15.pdf" TargetMode="External" /><Relationship Type="http://schemas.openxmlformats.org/officeDocument/2006/relationships/hyperlink" Id="rId82" Target="16.pdf" TargetMode="External" /><Relationship Type="http://schemas.openxmlformats.org/officeDocument/2006/relationships/hyperlink" Id="rId85" Target="17.pdf" TargetMode="External" /><Relationship Type="http://schemas.openxmlformats.org/officeDocument/2006/relationships/hyperlink" Id="rId88"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1" Target="5a.pdf" TargetMode="External" /><Relationship Type="http://schemas.openxmlformats.org/officeDocument/2006/relationships/hyperlink" Id="rId42" Target="5b.pdf" TargetMode="External" /><Relationship Type="http://schemas.openxmlformats.org/officeDocument/2006/relationships/hyperlink" Id="rId43" Target="5c.pdf" TargetMode="External" /><Relationship Type="http://schemas.openxmlformats.org/officeDocument/2006/relationships/hyperlink" Id="rId47" Target="6.pdf" TargetMode="External" /><Relationship Type="http://schemas.openxmlformats.org/officeDocument/2006/relationships/hyperlink" Id="rId48" Target="6a.pdf" TargetMode="External" /><Relationship Type="http://schemas.openxmlformats.org/officeDocument/2006/relationships/hyperlink" Id="rId51" Target="7.pdf" TargetMode="External" /><Relationship Type="http://schemas.openxmlformats.org/officeDocument/2006/relationships/hyperlink" Id="rId52" Target="7a.pdf" TargetMode="External" /><Relationship Type="http://schemas.openxmlformats.org/officeDocument/2006/relationships/hyperlink" Id="rId55" Target="8.pdf" TargetMode="External" /><Relationship Type="http://schemas.openxmlformats.org/officeDocument/2006/relationships/hyperlink" Id="rId58" Target="9.pdf" TargetMode="External" /><Relationship Type="http://schemas.openxmlformats.org/officeDocument/2006/relationships/hyperlink" Id="rId81" Target="http://epaper.stcn.com/paper/zqsb/html/2016-07/04/content_845166.htm" TargetMode="External" /><Relationship Type="http://schemas.openxmlformats.org/officeDocument/2006/relationships/hyperlink" Id="rId87" Target="http://epaper.stcn.com/paper/zqsb/html/2016-07/04/content_845169.htm" TargetMode="External" /><Relationship Type="http://schemas.openxmlformats.org/officeDocument/2006/relationships/hyperlink" Id="rId84" Target="http://epaper.stcn.com/paper/zqsb/html/2016-07/04/content_845170.htm" TargetMode="External" /><Relationship Type="http://schemas.openxmlformats.org/officeDocument/2006/relationships/hyperlink" Id="rId78" Target="http://epaper.stcn.com/paper/zqsb/html/2016-07/05/content_845629.htm" TargetMode="External" /><Relationship Type="http://schemas.openxmlformats.org/officeDocument/2006/relationships/hyperlink" Id="rId75" Target="http://epaper.stcn.com/paper/zqsb/html/epaper/index/content_846502.htm" TargetMode="External" /><Relationship Type="http://schemas.openxmlformats.org/officeDocument/2006/relationships/hyperlink" Id="rId63" Target="http://news.xinhuanet.com/legal/2016-07/03/c_1119153484.htm" TargetMode="External" /><Relationship Type="http://schemas.openxmlformats.org/officeDocument/2006/relationships/hyperlink" Id="rId66" Target="http://news.xinhuanet.com/legal/2016-07/03/c_129110461.htm" TargetMode="External" /><Relationship Type="http://schemas.openxmlformats.org/officeDocument/2006/relationships/hyperlink" Id="rId36" Target="http://szs.mof.gov.cn/zhengwuxinxi/zhengcefabu/201606/t20160629_2342531.html" TargetMode="External" /><Relationship Type="http://schemas.openxmlformats.org/officeDocument/2006/relationships/hyperlink" Id="rId21" Target="http://www.charltonslaw.com.cn/china-news-alerts-cn-issue-507/" TargetMode="External" /><Relationship Type="http://schemas.openxmlformats.org/officeDocument/2006/relationships/hyperlink" Id="rId39" Target="http://www.chinatax.gov.cn/n810341/n810755/c2202132/content.html" TargetMode="External" /><Relationship Type="http://schemas.openxmlformats.org/officeDocument/2006/relationships/hyperlink" Id="rId32" Target="http://www.circ.gov.cn/web/site0/tab5168/info4034637.htm" TargetMode="External" /><Relationship Type="http://schemas.openxmlformats.org/officeDocument/2006/relationships/hyperlink" Id="rId25" Target="http://www.gov.cn/zhengce/content/2016-07/04/content_5087839.htm" TargetMode="External" /><Relationship Type="http://schemas.openxmlformats.org/officeDocument/2006/relationships/hyperlink" Id="rId60" Target="http://www.gov.cn/zhengce/content/2016-07/04/content_5088043.htm" TargetMode="External" /><Relationship Type="http://schemas.openxmlformats.org/officeDocument/2006/relationships/hyperlink" Id="rId54" Target="http://www.gov.cn/zhengce/content/2016-07/05/content_5088351.htm" TargetMode="External" /><Relationship Type="http://schemas.openxmlformats.org/officeDocument/2006/relationships/hyperlink" Id="rId57" Target="http://www.miit.gov.cn/n1146290/n4388791/c5081157/content.html" TargetMode="External" /><Relationship Type="http://schemas.openxmlformats.org/officeDocument/2006/relationships/hyperlink" Id="rId69" Target="http://www.miit.gov.cn/n1146295/n1652858/n1652930/n4509607/c4981945/content.html" TargetMode="External" /><Relationship Type="http://schemas.openxmlformats.org/officeDocument/2006/relationships/hyperlink" Id="rId46" Target="http://www.saic.gov.cn/zwgk/zyfb/zjwj/xxzx/201607/t20160706_169597.html" TargetMode="External" /><Relationship Type="http://schemas.openxmlformats.org/officeDocument/2006/relationships/hyperlink" Id="rId28" Target="http://www.sasac.gov.cn/n85881/n85921/c2370781/content.html" TargetMode="External" /><Relationship Type="http://schemas.openxmlformats.org/officeDocument/2006/relationships/hyperlink" Id="rId50" Target="http://www.sdpc.gov.cn/gzdt/201607/t20160706_810596.html" TargetMode="External" /><Relationship Type="http://schemas.openxmlformats.org/officeDocument/2006/relationships/hyperlink" Id="rId8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4"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1" Target="13a.pdf" TargetMode="External" /><Relationship Type="http://schemas.openxmlformats.org/officeDocument/2006/relationships/hyperlink" Id="rId72" Target="13b.pdf" TargetMode="External" /><Relationship Type="http://schemas.openxmlformats.org/officeDocument/2006/relationships/hyperlink" Id="rId76" Target="14.pdf" TargetMode="External" /><Relationship Type="http://schemas.openxmlformats.org/officeDocument/2006/relationships/hyperlink" Id="rId79" Target="15.pdf" TargetMode="External" /><Relationship Type="http://schemas.openxmlformats.org/officeDocument/2006/relationships/hyperlink" Id="rId82" Target="16.pdf" TargetMode="External" /><Relationship Type="http://schemas.openxmlformats.org/officeDocument/2006/relationships/hyperlink" Id="rId85" Target="17.pdf" TargetMode="External" /><Relationship Type="http://schemas.openxmlformats.org/officeDocument/2006/relationships/hyperlink" Id="rId88"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1" Target="5a.pdf" TargetMode="External" /><Relationship Type="http://schemas.openxmlformats.org/officeDocument/2006/relationships/hyperlink" Id="rId42" Target="5b.pdf" TargetMode="External" /><Relationship Type="http://schemas.openxmlformats.org/officeDocument/2006/relationships/hyperlink" Id="rId43" Target="5c.pdf" TargetMode="External" /><Relationship Type="http://schemas.openxmlformats.org/officeDocument/2006/relationships/hyperlink" Id="rId47" Target="6.pdf" TargetMode="External" /><Relationship Type="http://schemas.openxmlformats.org/officeDocument/2006/relationships/hyperlink" Id="rId48" Target="6a.pdf" TargetMode="External" /><Relationship Type="http://schemas.openxmlformats.org/officeDocument/2006/relationships/hyperlink" Id="rId51" Target="7.pdf" TargetMode="External" /><Relationship Type="http://schemas.openxmlformats.org/officeDocument/2006/relationships/hyperlink" Id="rId52" Target="7a.pdf" TargetMode="External" /><Relationship Type="http://schemas.openxmlformats.org/officeDocument/2006/relationships/hyperlink" Id="rId55" Target="8.pdf" TargetMode="External" /><Relationship Type="http://schemas.openxmlformats.org/officeDocument/2006/relationships/hyperlink" Id="rId58" Target="9.pdf" TargetMode="External" /><Relationship Type="http://schemas.openxmlformats.org/officeDocument/2006/relationships/hyperlink" Id="rId81" Target="http://epaper.stcn.com/paper/zqsb/html/2016-07/04/content_845166.htm" TargetMode="External" /><Relationship Type="http://schemas.openxmlformats.org/officeDocument/2006/relationships/hyperlink" Id="rId87" Target="http://epaper.stcn.com/paper/zqsb/html/2016-07/04/content_845169.htm" TargetMode="External" /><Relationship Type="http://schemas.openxmlformats.org/officeDocument/2006/relationships/hyperlink" Id="rId84" Target="http://epaper.stcn.com/paper/zqsb/html/2016-07/04/content_845170.htm" TargetMode="External" /><Relationship Type="http://schemas.openxmlformats.org/officeDocument/2006/relationships/hyperlink" Id="rId78" Target="http://epaper.stcn.com/paper/zqsb/html/2016-07/05/content_845629.htm" TargetMode="External" /><Relationship Type="http://schemas.openxmlformats.org/officeDocument/2006/relationships/hyperlink" Id="rId75" Target="http://epaper.stcn.com/paper/zqsb/html/epaper/index/content_846502.htm" TargetMode="External" /><Relationship Type="http://schemas.openxmlformats.org/officeDocument/2006/relationships/hyperlink" Id="rId63" Target="http://news.xinhuanet.com/legal/2016-07/03/c_1119153484.htm" TargetMode="External" /><Relationship Type="http://schemas.openxmlformats.org/officeDocument/2006/relationships/hyperlink" Id="rId66" Target="http://news.xinhuanet.com/legal/2016-07/03/c_129110461.htm" TargetMode="External" /><Relationship Type="http://schemas.openxmlformats.org/officeDocument/2006/relationships/hyperlink" Id="rId36" Target="http://szs.mof.gov.cn/zhengwuxinxi/zhengcefabu/201606/t20160629_2342531.html" TargetMode="External" /><Relationship Type="http://schemas.openxmlformats.org/officeDocument/2006/relationships/hyperlink" Id="rId21" Target="http://www.charltonslaw.com.cn/china-news-alerts-cn-issue-507/" TargetMode="External" /><Relationship Type="http://schemas.openxmlformats.org/officeDocument/2006/relationships/hyperlink" Id="rId39" Target="http://www.chinatax.gov.cn/n810341/n810755/c2202132/content.html" TargetMode="External" /><Relationship Type="http://schemas.openxmlformats.org/officeDocument/2006/relationships/hyperlink" Id="rId32" Target="http://www.circ.gov.cn/web/site0/tab5168/info4034637.htm" TargetMode="External" /><Relationship Type="http://schemas.openxmlformats.org/officeDocument/2006/relationships/hyperlink" Id="rId25" Target="http://www.gov.cn/zhengce/content/2016-07/04/content_5087839.htm" TargetMode="External" /><Relationship Type="http://schemas.openxmlformats.org/officeDocument/2006/relationships/hyperlink" Id="rId60" Target="http://www.gov.cn/zhengce/content/2016-07/04/content_5088043.htm" TargetMode="External" /><Relationship Type="http://schemas.openxmlformats.org/officeDocument/2006/relationships/hyperlink" Id="rId54" Target="http://www.gov.cn/zhengce/content/2016-07/05/content_5088351.htm" TargetMode="External" /><Relationship Type="http://schemas.openxmlformats.org/officeDocument/2006/relationships/hyperlink" Id="rId57" Target="http://www.miit.gov.cn/n1146290/n4388791/c5081157/content.html" TargetMode="External" /><Relationship Type="http://schemas.openxmlformats.org/officeDocument/2006/relationships/hyperlink" Id="rId69" Target="http://www.miit.gov.cn/n1146295/n1652858/n1652930/n4509607/c4981945/content.html" TargetMode="External" /><Relationship Type="http://schemas.openxmlformats.org/officeDocument/2006/relationships/hyperlink" Id="rId46" Target="http://www.saic.gov.cn/zwgk/zyfb/zjwj/xxzx/201607/t20160706_169597.html" TargetMode="External" /><Relationship Type="http://schemas.openxmlformats.org/officeDocument/2006/relationships/hyperlink" Id="rId28" Target="http://www.sasac.gov.cn/n85881/n85921/c2370781/content.html" TargetMode="External" /><Relationship Type="http://schemas.openxmlformats.org/officeDocument/2006/relationships/hyperlink" Id="rId50" Target="http://www.sdpc.gov.cn/gzdt/201607/t20160706_810596.html" TargetMode="External" /><Relationship Type="http://schemas.openxmlformats.org/officeDocument/2006/relationships/hyperlink" Id="rId8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第507期 - 2016年07月11日</dc:title>
  <dc:creator/>
</cp:coreProperties>
</file>