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第508期</w:t>
      </w:r>
      <w:r>
        <w:t xml:space="preserve"> </w:t>
      </w:r>
      <w:r>
        <w:t xml:space="preserve">-</w:t>
      </w:r>
      <w:r>
        <w:t xml:space="preserve"> </w:t>
      </w:r>
      <w:r>
        <w:t xml:space="preserve">2016年07月15日</w:t>
      </w:r>
    </w:p>
    <w:p>
      <w:hyperlink r:id="rId21">
        <w:r>
          <w:rPr>
            <w:rStyle w:val="Link"/>
          </w:rPr>
          <w:t xml:space="preserve">网络版</w:t>
        </w:r>
      </w:hyperlink>
    </w:p>
    <w:p>
      <w:pPr>
        <w:pStyle w:val="Heading1"/>
      </w:pPr>
      <w:bookmarkStart w:id="22" w:name="中国法讯第508期"/>
      <w:bookmarkEnd w:id="22"/>
      <w:r>
        <w:t xml:space="preserve">中国法讯第508期</w:t>
      </w:r>
    </w:p>
    <w:p>
      <w:pPr>
        <w:pStyle w:val="Heading2"/>
      </w:pPr>
      <w:bookmarkStart w:id="23" w:name="资本市场"/>
      <w:bookmarkEnd w:id="23"/>
      <w:r>
        <w:t xml:space="preserve">资本市场</w:t>
      </w:r>
    </w:p>
    <w:p>
      <w:pPr>
        <w:pStyle w:val="Heading3"/>
      </w:pPr>
      <w:bookmarkStart w:id="24" w:name="深交所发布修订后上市委员会工作细则"/>
      <w:bookmarkEnd w:id="24"/>
      <w:r>
        <w:t xml:space="preserve">深交所发布修订后上市委员会工作细则</w:t>
      </w:r>
    </w:p>
    <w:p>
      <w:r>
        <w:t xml:space="preserve">近日，深交所公布《深圳证券交易所上市委员会工作细则（2016年修订）》（下称《细则》），自发布之日施行。</w:t>
      </w:r>
    </w:p>
    <w:p>
      <w:r>
        <w:t xml:space="preserve">《细则》主要变化如下：一是调整完善上市委职责范围，将上市证券的暂停上市事宜纳入上市委审核范围。二是扩大股票审核事项适用范围，将范围从普通股扩大至优先股，将优先股的上市和挂牌转让纳入股票审核范围。三是区别暂停上市情形实施差异化审核程序。对于触及财务类退市指标和市场交易类退市指标的股票的暂停上市，适用上市委的特别审议程序；对于触及其他类退市指标包括欺诈发行、重大信息披露违法等重大违法类退市指标的股票的暂停上市，适用上市委普通审议程序。优先股的上市和挂牌转让，以及可转换公司债券的暂停上市，适用上市委特别审议程序。四是取消公司（企业）债券上市委审议环节。</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中国结算修订发布两项质押式回购业务规则"/>
      <w:bookmarkEnd w:id="28"/>
      <w:r>
        <w:t xml:space="preserve">中国结算修订发布两项质押式回购业务规则</w:t>
      </w:r>
    </w:p>
    <w:p>
      <w:r>
        <w:t xml:space="preserve">日前，中国结算发出通知，对外公布《标准券折算率（值）管理办法（2016年修订版）》（下称《办法》）和《质押式回购资格准入标准及标准券折扣系数取值业务指引（2016年修订版）》（下称《指引》），自7月15日实施。</w:t>
      </w:r>
    </w:p>
    <w:p>
      <w:r>
        <w:t xml:space="preserve">本次对《办法》、《指引》修订的内容包括：一是优化了《办法》计算公式，以估值替代上期平均价，解决了部分债券市场价格形成不充分、不公允问题；二是优化了《指引》中信用债券折扣系数取值标准，根据质押券的主体评级和债项评级情况，将原本的四档分类细化为六档分类，进一步提高了对不同债券信用风险的区分度，并整体调低了信用债券的折扣系数取值水平；三是加强了对发行人信息披露质量、信用评级质量的监督，增加了根据发行人信息披露质量、信用评级质量情况进行折扣系数、折算率调整的相关规定。</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两部门启动证券期货纠纷多元化解机制试点工作"/>
      <w:bookmarkEnd w:id="31"/>
      <w:r>
        <w:t xml:space="preserve">两部门启动证券期货纠纷多元化解机制试点工作</w:t>
      </w:r>
    </w:p>
    <w:p>
      <w:r>
        <w:t xml:space="preserve">近日，最高法、证监会共同发布《关于在全国部分地区开展证券期货纠纷多元化解机制试点工作的通知》（下称《通知》）。</w:t>
      </w:r>
    </w:p>
    <w:p>
      <w:r>
        <w:t xml:space="preserve">根据《通知》，试点内容包括试点调解机构的认可和管理、健全诉调对接工作机制、强化纠纷多元化解机制保障落实三个方面。其中，《通知》指出，证券期货监管机构、行业组织等发起设立、实际管理的调解组织，可成为试点调解组织，其应符合具有规范的组织形式、固定的办公场所和调解场地、专业的调解人员、健全的调解工作制度等基本条件。《通知》明确，自然人、法人和其他组织之间因证券、期货、基金等资本市场风险投资业务产生的合同和侵权责任纠纷，均属试点范围；证券期货监管机构、试点调解组织的非诉讼调解、先行赔付等，均可与司法诉讼对接。经调解达成的调解协议具有民事合同性质。</w:t>
      </w:r>
    </w:p>
    <w:p>
      <w:hyperlink r:id="rId32">
        <w:r>
          <w:rPr>
            <w:rStyle w:val="Link"/>
          </w:rPr>
          <w:t xml:space="preserve">来源</w:t>
        </w:r>
      </w:hyperlink>
      <w:r>
        <w:t xml:space="preserve"> </w:t>
      </w:r>
      <w:r>
        <w:t xml:space="preserve">(</w:t>
      </w:r>
      <w:hyperlink r:id="rId33">
        <w:r>
          <w:rPr>
            <w:rStyle w:val="Link"/>
          </w:rPr>
          <w:t xml:space="preserve">副本</w:t>
        </w:r>
      </w:hyperlink>
      <w:r>
        <w:t xml:space="preserve">) (</w:t>
      </w:r>
      <w:hyperlink r:id="rId34">
        <w:r>
          <w:rPr>
            <w:rStyle w:val="Link"/>
          </w:rPr>
          <w:t xml:space="preserve">副本</w:t>
        </w:r>
      </w:hyperlink>
      <w:r>
        <w:t xml:space="preserve">) (</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保监会发文加强保险公司关联交易信息披露工作"/>
      <w:bookmarkEnd w:id="37"/>
      <w:r>
        <w:t xml:space="preserve">保监会发文加强保险公司关联交易信息披露工作</w:t>
      </w:r>
    </w:p>
    <w:p>
      <w:r>
        <w:t xml:space="preserve">近日，保监会下发《关于进一步加强保险公司关联交易信息披露工作有关问题的通知》（下称《通知》），自发布之日施行。</w:t>
      </w:r>
    </w:p>
    <w:p>
      <w:r>
        <w:t xml:space="preserve">《通知》主要内容包括：一是扩大披露范围。明确保险公司需在规定时限内，按照交易类型、交易金额分类，对重大关联交易、资金运用类关联交易及一般关联交易进行逐笔或合并信息披露，并对逐笔、合并披露的适用范围和条件分别予以明确。二是细化披露内容。明确各类关联交易需披露的具体要素、渠道和方式，保险公司需完整准确披露相关信息。三是提高披露标准。明确重大关联交易与保险公司总资产的比例关系或单笔交易金额标准，对重大关联交易的认定范围进一步扩大。四是强化法律责任。明确保险公司董事会对公司关联交易合规性负最终责任，董事会秘书是关联交易信息披露责任人。</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税总完善关联申报和同期资料管理有关事项"/>
      <w:bookmarkEnd w:id="41"/>
      <w:r>
        <w:t xml:space="preserve">税总完善关联申报和同期资料管理有关事项</w:t>
      </w:r>
    </w:p>
    <w:p>
      <w:r>
        <w:t xml:space="preserve">近日，国税总局发布《关于完善关联申报和同期资料管理有关事项的公告》（下称《公告》），适用于2016年及以后的会计年度。</w:t>
      </w:r>
    </w:p>
    <w:p>
      <w:r>
        <w:t xml:space="preserve">《公告》规定，实行查账征收的居民企业和在中国境内设立机构、场所并据实申报缴纳企业所得税的非居民企业向税务机关报送年度企业所得税纳税申报表时，应就其与关联方之间的业务往来进行关联申报，附送《中华人民共和国企业年度关联业务往来报告表（2016年版）》。企业与其他企业、组织或个人具有“一方直接或间接持有另一方的股份总和达到25%以上；双方直接或间接同为第三方所持有的股份达到25%以上”等七种关系之一的，构成《公告》所称关联关系；关联交易包括“金融资产的转让”等五类。《公告》还明确，企业应据企业所得税法实施条例第一百一十四条规定，按纳税年度准备并按税务机关要求提供其关联交易的同期资料。</w:t>
      </w:r>
    </w:p>
    <w:p>
      <w:hyperlink r:id="rId42">
        <w:r>
          <w:rPr>
            <w:rStyle w:val="Link"/>
          </w:rPr>
          <w:t xml:space="preserve">来源</w:t>
        </w:r>
      </w:hyperlink>
      <w:r>
        <w:t xml:space="preserve"> </w:t>
      </w:r>
      <w:r>
        <w:t xml:space="preserve">(</w:t>
      </w:r>
      <w:hyperlink r:id="rId43">
        <w:r>
          <w:rPr>
            <w:rStyle w:val="Link"/>
          </w:rPr>
          <w:t xml:space="preserve">副本</w:t>
        </w:r>
      </w:hyperlink>
      <w:r>
        <w:t xml:space="preserve">) (</w:t>
      </w:r>
      <w:hyperlink r:id="rId44">
        <w:r>
          <w:rPr>
            <w:rStyle w:val="Link"/>
          </w:rPr>
          <w:t xml:space="preserve">副本</w:t>
        </w:r>
      </w:hyperlink>
      <w:r>
        <w:t xml:space="preserve">) (</w:t>
      </w:r>
      <w:hyperlink r:id="rId45">
        <w:r>
          <w:rPr>
            <w:rStyle w:val="Link"/>
          </w:rPr>
          <w:t xml:space="preserve">副本</w:t>
        </w:r>
      </w:hyperlink>
      <w:r>
        <w:t xml:space="preserve">)</w:t>
      </w:r>
    </w:p>
    <w:p>
      <w:pPr>
        <w:pStyle w:val="Heading3"/>
      </w:pPr>
      <w:bookmarkStart w:id="46" w:name="国税总局发文优化外管证制度及办理程序"/>
      <w:bookmarkEnd w:id="46"/>
      <w:r>
        <w:t xml:space="preserve">国税总局发文优化外管证制度及办理程序</w:t>
      </w:r>
    </w:p>
    <w:p>
      <w:r>
        <w:t xml:space="preserve">日前，国税总局出台《关于优化〈外出经营活动税收管理证明〉相关制度和办理程序的意见》（下称《意见》）。</w:t>
      </w:r>
    </w:p>
    <w:p>
      <w:r>
        <w:t xml:space="preserve">《意见》提出：一、创新《外出经营活动税收管理证明》（《外管证》）制度，包括改进开具范围界定、探索外出经营税收管理信息化、延长建筑安装行业纳税人《外管证》有效期限。《意见》明确，纳税人跨省税务机关管辖区域经营的，应按本规定开具《外管证》；纳税人在省税务机关管辖区域内跨县（市）经营的，是否开具《外管证》由省税务机关自行确定。二、优化《外管证》办理程序，涵盖开具、报验登记、核销等事项。《意见》指出，纳税人跨省从事生产、经营活动的，应在外出生产经营之前，到机构所在地主管税务机关开具《外管证》，税务机关按“一地一证”原则发放《外管证》。</w:t>
      </w:r>
    </w:p>
    <w:p>
      <w:hyperlink r:id="rId47">
        <w:r>
          <w:rPr>
            <w:rStyle w:val="Link"/>
          </w:rPr>
          <w:t xml:space="preserve">来源</w:t>
        </w:r>
      </w:hyperlink>
      <w:r>
        <w:t xml:space="preserve"> </w:t>
      </w:r>
      <w:r>
        <w:t xml:space="preserve">(</w:t>
      </w:r>
      <w:hyperlink r:id="rId48">
        <w:r>
          <w:rPr>
            <w:rStyle w:val="Link"/>
          </w:rPr>
          <w:t xml:space="preserve">副本</w:t>
        </w:r>
      </w:hyperlink>
      <w:r>
        <w:t xml:space="preserve">) (</w:t>
      </w:r>
      <w:hyperlink r:id="rId49">
        <w:r>
          <w:rPr>
            <w:rStyle w:val="Link"/>
          </w:rPr>
          <w:t xml:space="preserve">副本</w:t>
        </w:r>
      </w:hyperlink>
      <w:r>
        <w:t xml:space="preserve">) (</w:t>
      </w:r>
      <w:hyperlink r:id="rId50">
        <w:r>
          <w:rPr>
            <w:rStyle w:val="Link"/>
          </w:rPr>
          <w:t xml:space="preserve">副本</w:t>
        </w:r>
      </w:hyperlink>
      <w:r>
        <w:t xml:space="preserve">)</w:t>
      </w:r>
    </w:p>
    <w:p>
      <w:pPr>
        <w:pStyle w:val="Heading3"/>
      </w:pPr>
      <w:bookmarkStart w:id="51" w:name="多部门纳税信用a级纳税人享41项联合激励措施"/>
      <w:bookmarkEnd w:id="51"/>
      <w:r>
        <w:t xml:space="preserve">多部门：纳税信用A级纳税人享41项联合激励措施</w:t>
      </w:r>
    </w:p>
    <w:p>
      <w:r>
        <w:t xml:space="preserve">近日，国家发改委等二十九部门联合发出通知，公布《关于对纳税信用A级纳税人实施联合激励措施的合作备忘录》（下称《备忘录》）。</w:t>
      </w:r>
    </w:p>
    <w:p>
      <w:r>
        <w:t xml:space="preserve">根据《备忘录》，将对纳税信用A级纳税人在项目管理、税收服务、融资授信、进出口等18个领域实施41项守信联合激励措施。《备忘录》规定，一般纳税人可单次领取3个月的增值税发票用量，需调整增值税发票用量时即时办理；普通发票按需领用；有条件评为出口企业管理一类企业，享受出口退（免）税便利服务措施；增值税一般纳税人取消增值税发票认证等。《备忘录》还明确，在审批证券、基金管理公司、期货公司及保险公司设立、变更、从事相关业务等行为时，企业信用信息将作为重要参考。</w:t>
      </w:r>
    </w:p>
    <w:p>
      <w:hyperlink r:id="rId52">
        <w:r>
          <w:rPr>
            <w:rStyle w:val="Link"/>
          </w:rPr>
          <w:t xml:space="preserve">来源</w:t>
        </w:r>
      </w:hyperlink>
      <w:r>
        <w:t xml:space="preserve"> </w:t>
      </w:r>
      <w:r>
        <w:t xml:space="preserve">(</w:t>
      </w:r>
      <w:hyperlink r:id="rId53">
        <w:r>
          <w:rPr>
            <w:rStyle w:val="Link"/>
          </w:rPr>
          <w:t xml:space="preserve">副本</w:t>
        </w:r>
      </w:hyperlink>
      <w:r>
        <w:t xml:space="preserve">) (</w:t>
      </w:r>
      <w:hyperlink r:id="rId54">
        <w:r>
          <w:rPr>
            <w:rStyle w:val="Link"/>
          </w:rPr>
          <w:t xml:space="preserve">副本</w:t>
        </w:r>
      </w:hyperlink>
      <w:r>
        <w:t xml:space="preserve">)</w:t>
      </w:r>
    </w:p>
    <w:p>
      <w:pPr>
        <w:pStyle w:val="Heading3"/>
      </w:pPr>
      <w:bookmarkStart w:id="55" w:name="国税总局修订土地增值税纳税申报表"/>
      <w:bookmarkEnd w:id="55"/>
      <w:r>
        <w:t xml:space="preserve">国税总局修订土地增值税纳税申报表</w:t>
      </w:r>
    </w:p>
    <w:p>
      <w:r>
        <w:t xml:space="preserve">日前，国税总局发布《关于修订土地增值税纳税申报表的通知》（下称《通知》）。</w:t>
      </w:r>
    </w:p>
    <w:p>
      <w:r>
        <w:t xml:space="preserve">《通知》明确：一、增加《土地增值税项目登记表》；二、土地增值税纳税申报表单修订内容包括：1、在《土地增值税纳税申报表（二）》和《土地增值税纳税申报表（五）》中增加“代收费用”栏次。2、调整收入项目名称，在《土地增值税纳税申报表（一）》中增加“视同销售收入”数据列，在《土地增值税纳税申报表（二）》、《土地增值税纳税申报表（四）》、《土地增值税纳税申报表（五）》和《土地增值税纳税申报表（六）》中调整转让收入栏次，增加“视同销售收入”指标。</w:t>
      </w:r>
    </w:p>
    <w:p>
      <w:hyperlink r:id="rId56">
        <w:r>
          <w:rPr>
            <w:rStyle w:val="Link"/>
          </w:rPr>
          <w:t xml:space="preserve">来源</w:t>
        </w:r>
      </w:hyperlink>
      <w:r>
        <w:t xml:space="preserve"> </w:t>
      </w:r>
      <w:r>
        <w:t xml:space="preserve">(</w:t>
      </w:r>
      <w:hyperlink r:id="rId57">
        <w:r>
          <w:rPr>
            <w:rStyle w:val="Link"/>
          </w:rPr>
          <w:t xml:space="preserve">副本</w:t>
        </w:r>
      </w:hyperlink>
      <w:r>
        <w:t xml:space="preserve">) (</w:t>
      </w:r>
      <w:hyperlink r:id="rId58">
        <w:r>
          <w:rPr>
            <w:rStyle w:val="Link"/>
          </w:rPr>
          <w:t xml:space="preserve">副本</w:t>
        </w:r>
      </w:hyperlink>
      <w:r>
        <w:t xml:space="preserve">)</w:t>
      </w:r>
    </w:p>
    <w:p>
      <w:pPr>
        <w:pStyle w:val="Heading3"/>
      </w:pPr>
      <w:bookmarkStart w:id="59" w:name="税总批复撤县建市城建税具体适用税率问题"/>
      <w:bookmarkEnd w:id="59"/>
      <w:r>
        <w:t xml:space="preserve">税总批复撤县建市城建税具体适用税率问题</w:t>
      </w:r>
    </w:p>
    <w:p>
      <w:r>
        <w:t xml:space="preserve">日前，国税总局下发《关于撤县建市城市维护建设税具体适用税率的批复》（下称《批复》）。</w:t>
      </w:r>
    </w:p>
    <w:p>
      <w:r>
        <w:t xml:space="preserve">《批复》称，贵州省地方税务局《关于中国贵州茅台酒厂（集团）有限责任公司及所属企业城市维护建设税适用税率问题的请示》收悉，经研究批复如下：《中华人民共和国城市维护建设税暂行条例》对市区、县城和镇等分别规定了不同的城市维护建设税税率。撤县建市后，纳税人所在地在市区的，城市维护建设税适用税率为7%；纳税人所在地在市区以外其他镇的，城市维护建设税适用税率仍为5%。</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国土部发文促进国土资源大数据应用发展"/>
      <w:bookmarkEnd w:id="63"/>
      <w:r>
        <w:t xml:space="preserve">国土部发文促进国土资源大数据应用发展</w:t>
      </w:r>
    </w:p>
    <w:p>
      <w:r>
        <w:t xml:space="preserve">近日，国土部制发《关于促进国土资源大数据应用发展的实施意见》（下称《意见》）。</w:t>
      </w:r>
    </w:p>
    <w:p>
      <w:r>
        <w:t xml:space="preserve">《意见》提出，到2020年，国土资源数据资源体系得到较大丰富与完善，国土资源数据实现较为全面的共享和开放，基于数据共享的国土资源治理能力不断提高，基于数据开放的公共服务能力全面提升，国土资源大数据在资源监管和公共服务等领域得到广泛应用，产业新业态初步形成。为此，《意见》确立“持续完善国土资源数据资源体系”等八项主要任务。其中，《意见》明确，有序推进土地利用规划、建设用地审批、土地征用、土地市场、土地价格等土地数据集，以及矿产资源规划、矿业权审批登记等矿产资源数据集向社会开放。</w:t>
      </w:r>
    </w:p>
    <w:p>
      <w:hyperlink r:id="rId64">
        <w:r>
          <w:rPr>
            <w:rStyle w:val="Link"/>
          </w:rPr>
          <w:t xml:space="preserve">来源</w:t>
        </w:r>
      </w:hyperlink>
      <w:r>
        <w:t xml:space="preserve"> </w:t>
      </w:r>
      <w:r>
        <w:t xml:space="preserve">(</w:t>
      </w:r>
      <w:hyperlink r:id="rId65">
        <w:r>
          <w:rPr>
            <w:rStyle w:val="Link"/>
          </w:rPr>
          <w:t xml:space="preserve">副本</w:t>
        </w:r>
      </w:hyperlink>
      <w:r>
        <w:t xml:space="preserve">) (</w:t>
      </w:r>
      <w:hyperlink r:id="rId66">
        <w:r>
          <w:rPr>
            <w:rStyle w:val="Link"/>
          </w:rPr>
          <w:t xml:space="preserve">副本</w:t>
        </w:r>
      </w:hyperlink>
      <w:r>
        <w:t xml:space="preserve">)</w:t>
      </w:r>
    </w:p>
    <w:p>
      <w:pPr>
        <w:pStyle w:val="Heading3"/>
      </w:pPr>
      <w:bookmarkStart w:id="67" w:name="五部门2020年形成10家以上全球影响力先进制造基地"/>
      <w:bookmarkEnd w:id="67"/>
      <w:r>
        <w:t xml:space="preserve">五部门：2020年形成10家以上全球影响力先进制造基地</w:t>
      </w:r>
    </w:p>
    <w:p>
      <w:r>
        <w:t xml:space="preserve">近日，工信部等五部门联合印发《关于深入推进新型工业化产业示范基地建设的指导意见》（下称《意见》）。</w:t>
      </w:r>
    </w:p>
    <w:p>
      <w:r>
        <w:t xml:space="preserve">《意见》指出，以提高发展质量和效益为中心，以供给侧结构性改革为主线，以协同创新、集群集约、智能融合、绿色安全为导向，通过实施分级、分类指导，加强动态管理，构建从培育、创建、提升到打造卓越的示范基地体系。《意见》强调，要按行业特点和发展需求，建立规模效益突出的优势产业示范基地和专业化细分领域竞争力强的特色产业示范基地两个体系，明确提出到“十三五”末，规模效益突出的优势产业示范基地保持400家左右。《意见》还结合制造强国战略需要，提出到2020年形成10家以上具有全球影响力和竞争力的先进制造基地，到2025年卓越提升计划取得明显进展。</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广告产业发展十三五规划正式公布"/>
      <w:bookmarkEnd w:id="70"/>
      <w:r>
        <w:t xml:space="preserve">《广告产业发展“十三五”规划》正式公布</w:t>
      </w:r>
    </w:p>
    <w:p>
      <w:r>
        <w:t xml:space="preserve">日前，工商总局对外发布《广告产业发展“十三五”规划》（下称《规划》）。</w:t>
      </w:r>
    </w:p>
    <w:p>
      <w:r>
        <w:t xml:space="preserve">《规划》指出，“十三五”时期，打造具有国际化服务能力的大型广告企业集团，服务国家自主品牌建设，提高对自主品牌传播的综合服务能力，争取能产生年广告经营额超千亿元的广告企业集团，20个年广告经营额超百亿元、50个年广告营业额超20亿元的广告企业。《规划》明确，探索广告业经营新模式，加快广告业经营方式创新，支持广告产业与高新技术产业相互渗透，以“互联网+广告”创新媒介形式，形成不同性质和领域间的媒介联动发展。《规划》还特别提到，在广告业试点高新技术企业认定，对经认定为高新技术企业的广告企业，减按15%的税率征收企业所得税。</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工商总局修订发布动产抵押登记办法"/>
      <w:bookmarkEnd w:id="73"/>
      <w:r>
        <w:t xml:space="preserve">工商总局修订发布《动产抵押登记办法》</w:t>
      </w:r>
    </w:p>
    <w:p>
      <w:r>
        <w:t xml:space="preserve">近日，工商总局公布《动产抵押登记办法》（下称《办法》），自9月1日施行。</w:t>
      </w:r>
    </w:p>
    <w:p>
      <w:r>
        <w:t xml:space="preserve">《办法》规定，企业、个体工商户、农业生产经营者以《物权法》第一百八十条第一款第四项、第一百八十一条规定的动产抵押的，应向抵押人住所地的县级工商行政管理部门办理登记。抵押权自抵押合同生效时设立；未经登记，不得对抗善意第三人。《办法》指出，动产抵押登记的设立、变更和注销，可由抵押合同一方作为代表到登记机关办理，也可由抵押合同双方共同委托的代理人到登记机关办理。另外，《办法》还明确，当事人设立抵押权符合《办法》第二条所规定情形的，应持“抵押人、抵押权人签字或盖章的《动产抵押登记书》”等三文件向登记机关办理设立登记。</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工商总局出台互联网广告管理暂行办法"/>
      <w:bookmarkEnd w:id="76"/>
      <w:r>
        <w:t xml:space="preserve">工商总局出台互联网广告管理暂行办法</w:t>
      </w:r>
    </w:p>
    <w:p>
      <w:r>
        <w:t xml:space="preserve">近日，工商总局发布《互联网广告管理暂行办法》（下称《办法》），自2016年9月1日施行。</w:t>
      </w:r>
    </w:p>
    <w:p>
      <w:r>
        <w:t xml:space="preserve">《办法》共29条，其明确，互联网广告是指通过网站、网页、互联网应用程序等互联网媒介，以文字、图片、音频、视频或者其他形式，直接或者间接地推销商品或者服务的商业广告，包括“推销商品或者服务的付费搜索广告”等类型。同时，《办法》规定，互联网广告应当具有可识别性，显著标明“广告”，使消费者能够辨明其为广告；付费搜索广告应当与自然搜索结果明显区分。通过程序化购买广告方式发布的互联网广告，广告需求方平台经营者应当清晰标明广告来源。此外，《办法》还强调，互联网广告主应当对广告内容的真实性负责。</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两部门印发重点行业挥发性有机物削减计划"/>
      <w:bookmarkEnd w:id="79"/>
      <w:r>
        <w:t xml:space="preserve">两部门印发重点行业挥发性有机物削减计划</w:t>
      </w:r>
    </w:p>
    <w:p>
      <w:r>
        <w:t xml:space="preserve">日前，工信部联合财政部编发《重点行业挥发性有机物削减行动计划》（下称《计划》）。</w:t>
      </w:r>
    </w:p>
    <w:p>
      <w:r>
        <w:t xml:space="preserve">《计划》提出，到2018年，工业行业挥发性有机物排放量比2015年削减330万吨以上，减少苯、甲苯等溶剂、助剂使用量20%以上，低（无）挥发性有机物的绿色农药制剂、涂料、油墨、胶粘剂和轮胎产品比例分别达到70%、60%、70%、85%和40%以上。针对汽车行业，《计划》明确，涂装环节推进水性涂料等替代溶剂型涂料，推广静电喷涂等高效涂装工艺和先进智能化涂装设备。内饰件鼓励采用绿色胶粘剂等材料以及火焰复合等工艺。</w:t>
      </w:r>
    </w:p>
    <w:p>
      <w:hyperlink r:id="rId80">
        <w:r>
          <w:rPr>
            <w:rStyle w:val="Link"/>
          </w:rPr>
          <w:t xml:space="preserve">来源</w:t>
        </w:r>
      </w:hyperlink>
      <w:r>
        <w:t xml:space="preserve"> </w:t>
      </w:r>
      <w:r>
        <w:t xml:space="preserve">(</w:t>
      </w:r>
      <w:hyperlink r:id="rId81">
        <w:r>
          <w:rPr>
            <w:rStyle w:val="Link"/>
          </w:rPr>
          <w:t xml:space="preserve">副本</w:t>
        </w:r>
      </w:hyperlink>
      <w:r>
        <w:t xml:space="preserve">) (</w:t>
      </w:r>
      <w:hyperlink r:id="rId82">
        <w:r>
          <w:rPr>
            <w:rStyle w:val="Link"/>
          </w:rPr>
          <w:t xml:space="preserve">副本</w:t>
        </w:r>
      </w:hyperlink>
      <w:r>
        <w:t xml:space="preserve">)</w:t>
      </w:r>
    </w:p>
    <w:p>
      <w:pPr>
        <w:pStyle w:val="Heading2"/>
      </w:pPr>
      <w:bookmarkStart w:id="83" w:name="并购"/>
      <w:bookmarkEnd w:id="83"/>
      <w:r>
        <w:t xml:space="preserve">并购</w:t>
      </w:r>
    </w:p>
    <w:p>
      <w:pPr>
        <w:pStyle w:val="Heading3"/>
      </w:pPr>
      <w:bookmarkStart w:id="84" w:name="星期六投资3.7亿控股两时尚媒体"/>
      <w:bookmarkEnd w:id="84"/>
      <w:r>
        <w:t xml:space="preserve">星期六投资3.7亿控股两时尚媒体</w:t>
      </w:r>
    </w:p>
    <w:p>
      <w:r>
        <w:t xml:space="preserve">星期六日前披露，将投资3.7亿元控股时尚锋迅和北京时欣两大时尚媒体平台。公司董秘何建锋介绍，这一收购与公司计划推行的“FIP”（时尚IP）战略密切相关，公司将通过收购，逐步打造时尚IP生态圈，利用时下最热门的时尚网红等FIP，实现流量汇集，并对消费进行引流变现。</w:t>
      </w:r>
    </w:p>
    <w:p>
      <w:r>
        <w:t xml:space="preserve">星期六披露的交易方案显示，公司拟以发行股份和支付现金相结合的方式分别作价2.94亿元和7700万元收购时尚锋迅80%股权以及北京时欣70%股权。与此同时，公司拟以不低于11.47元/股的价格向不超过10名特定投资者非公开发行股份募集配套资金不超过1.95亿元，用于支付现金对价以及中介机构费用和其他相关费用。</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美年健康2719万美元收购美兆体检"/>
      <w:bookmarkEnd w:id="87"/>
      <w:r>
        <w:t xml:space="preserve">美年健康2719万美元收购美兆体检</w:t>
      </w:r>
    </w:p>
    <w:p>
      <w:r>
        <w:t xml:space="preserve">美年健康7月13日晚间发布公告称，公司下属境外全资子公司美健有限公司拟以2719.14万美元收购境外实体新新健康控股有限公司100%股权，从而间接控制北京美兆健康体检中心有限公司及上海美兆门诊部有限公司。</w:t>
      </w:r>
    </w:p>
    <w:p>
      <w:r>
        <w:t xml:space="preserve">资料显示，美兆健康体检集团是一家拥有专利自动化、国际级专业的体检机构。1988年，第一家诊所成立于台湾，发展至今，与英国BUPA、日本PL并列世界三大高端体检机构。美兆也是较早进入中国的国际体检品牌。北京美兆健康体检中心2003年开业,是美兆集团在大陆地区的第一家旗舰店，更是目前国内屈指可数的大型现代化、自动化健康体检机构。</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银河生物调整定增方案收购维康集团"/>
      <w:bookmarkEnd w:id="90"/>
      <w:r>
        <w:t xml:space="preserve">银河生物调整定增方案收购维康集团</w:t>
      </w:r>
    </w:p>
    <w:p>
      <w:r>
        <w:t xml:space="preserve">银河生物7月11日晚间发布公告，公司拟终止重大资产重组，本次重组涉及与海外公司的重大合作及医院的收购事项。同时，公司拟调整2015年11月发布的非公开发行股票方案，计划募资不超过50.86亿元，新增收购维康集团100%股权项目，通过对医院资源的收购，与公司目前的医药业务形成互补，布局医疗服务产业。</w:t>
      </w:r>
    </w:p>
    <w:p>
      <w:r>
        <w:t xml:space="preserve">资料显示，维康集团成立于2000年，目前旗下拥有沈阳维康医院、沈阳沈北维康医院和沈阳维康医院（有限公司）三家全资下属机构。维康集团2014年、2015年分别实现营业收入4.11亿元、3.87亿元；分别实现净利润1.26亿元和1.25亿元。</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3"/>
      </w:pPr>
      <w:bookmarkStart w:id="93" w:name="美的要约收购库卡将斩获超七成股权"/>
      <w:bookmarkEnd w:id="93"/>
      <w:r>
        <w:t xml:space="preserve">美的要约收购库卡将斩获超七成股权</w:t>
      </w:r>
    </w:p>
    <w:p>
      <w:r>
        <w:t xml:space="preserve">7月14日晚间，美的集团发布公告，截至北京时间2016年7月13日24时，接受要约收购的库卡集团股份数量为2258.67万股，占库卡集团总股本的约56.79%。本次要约收购前公司已持有库卡13.5%股权，本次要约收购完成后，公司持有的库卡股份将达到70.29%。</w:t>
      </w:r>
    </w:p>
    <w:p>
      <w:r>
        <w:t xml:space="preserve">7月15日24时（德国法兰克福当地时间）是本次要约收购的截止时间。按照公司最初的计划，控制库卡总股本的30%是本次要约收购的最低意图，算上公司自身持有的13.5%的股权，公司需要至少获得16.5%的持股接受要约。但从目前进展来看，成果远远超过预期。</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6">
        <w:r>
          <w:rPr>
            <w:rStyle w:val="Link"/>
          </w:rPr>
          <w:t xml:space="preserve">unsubscribe@charltonslaw.com</w:t>
        </w:r>
      </w:hyperlink>
    </w:p>
    <w:p>
      <w:r>
        <w:rPr>
          <w:b/>
        </w:rPr>
        <w:t xml:space="preserve">易周律师行 - 法讯 - 中国 - 第508期 - 2016年07月15日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d4b54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5" Target="10.pdf" TargetMode="External" /><Relationship Type="http://schemas.openxmlformats.org/officeDocument/2006/relationships/hyperlink" Id="rId66" Target="10a.pdf" TargetMode="External" /><Relationship Type="http://schemas.openxmlformats.org/officeDocument/2006/relationships/hyperlink" Id="rId69" Target="11.pdf" TargetMode="External" /><Relationship Type="http://schemas.openxmlformats.org/officeDocument/2006/relationships/hyperlink" Id="rId72" Target="12.pdf" TargetMode="External" /><Relationship Type="http://schemas.openxmlformats.org/officeDocument/2006/relationships/hyperlink" Id="rId75" Target="13.pdf" TargetMode="External" /><Relationship Type="http://schemas.openxmlformats.org/officeDocument/2006/relationships/hyperlink" Id="rId78" Target="14.pdf" TargetMode="External" /><Relationship Type="http://schemas.openxmlformats.org/officeDocument/2006/relationships/hyperlink" Id="rId81" Target="15.pdf" TargetMode="External" /><Relationship Type="http://schemas.openxmlformats.org/officeDocument/2006/relationships/hyperlink" Id="rId82" Target="15a.pdf" TargetMode="External" /><Relationship Type="http://schemas.openxmlformats.org/officeDocument/2006/relationships/hyperlink" Id="rId86" Target="16.pdf" TargetMode="External" /><Relationship Type="http://schemas.openxmlformats.org/officeDocument/2006/relationships/hyperlink" Id="rId89" Target="17.pdf" TargetMode="External" /><Relationship Type="http://schemas.openxmlformats.org/officeDocument/2006/relationships/hyperlink" Id="rId92" Target="18.pdf" TargetMode="External" /><Relationship Type="http://schemas.openxmlformats.org/officeDocument/2006/relationships/hyperlink" Id="rId95" Target="19.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5" Target="3b.pdf" TargetMode="External" /><Relationship Type="http://schemas.openxmlformats.org/officeDocument/2006/relationships/hyperlink" Id="rId39" Target="4.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5" Target="5b.pdf" TargetMode="External" /><Relationship Type="http://schemas.openxmlformats.org/officeDocument/2006/relationships/hyperlink" Id="rId48" Target="6.pdf" TargetMode="External" /><Relationship Type="http://schemas.openxmlformats.org/officeDocument/2006/relationships/hyperlink" Id="rId49" Target="6a.pdf" TargetMode="External" /><Relationship Type="http://schemas.openxmlformats.org/officeDocument/2006/relationships/hyperlink" Id="rId50" Target="6b.pdf" TargetMode="External" /><Relationship Type="http://schemas.openxmlformats.org/officeDocument/2006/relationships/hyperlink" Id="rId53" Target="7.pdf" TargetMode="External" /><Relationship Type="http://schemas.openxmlformats.org/officeDocument/2006/relationships/hyperlink" Id="rId54" Target="7a.pdf" TargetMode="External" /><Relationship Type="http://schemas.openxmlformats.org/officeDocument/2006/relationships/hyperlink" Id="rId57" Target="8.pdf" TargetMode="External" /><Relationship Type="http://schemas.openxmlformats.org/officeDocument/2006/relationships/hyperlink" Id="rId58" Target="8a.pdf" TargetMode="External" /><Relationship Type="http://schemas.openxmlformats.org/officeDocument/2006/relationships/hyperlink" Id="rId61" Target="9.pdf" TargetMode="External" /><Relationship Type="http://schemas.openxmlformats.org/officeDocument/2006/relationships/hyperlink" Id="rId91" Target="http://epaper.stcn.com/paper/zqsb/html/2016-07/12/content_848564.htm" TargetMode="External" /><Relationship Type="http://schemas.openxmlformats.org/officeDocument/2006/relationships/hyperlink" Id="rId85" Target="http://epaper.stcn.com/paper/zqsb/html/epaper/index/content_849624.htm" TargetMode="External" /><Relationship Type="http://schemas.openxmlformats.org/officeDocument/2006/relationships/hyperlink" Id="rId88" Target="http://epaper.stcn.com/paper/zqsb/html/epaper/index/content_849628.htm" TargetMode="External" /><Relationship Type="http://schemas.openxmlformats.org/officeDocument/2006/relationships/hyperlink" Id="rId94" Target="http://epaper.stcn.com/paper/zqsb/html/epaper/index/content_850247.htm" TargetMode="External" /><Relationship Type="http://schemas.openxmlformats.org/officeDocument/2006/relationships/hyperlink" Id="rId29" Target="http://finance.ifeng.com/a/20160708/14577352_0.shtml" TargetMode="External" /><Relationship Type="http://schemas.openxmlformats.org/officeDocument/2006/relationships/hyperlink" Id="rId21" Target="http://www.charltonslaw.com.cn/china-news-alerts-cn-issue-508/" TargetMode="External" /><Relationship Type="http://schemas.openxmlformats.org/officeDocument/2006/relationships/hyperlink" Id="rId60" Target="http://www.chinatax.gov.cn/n810341/n810755/c2204368/content.html" TargetMode="External" /><Relationship Type="http://schemas.openxmlformats.org/officeDocument/2006/relationships/hyperlink" Id="rId47" Target="http://www.chinatax.gov.cn/n810341/n810755/c2208413/content.html" TargetMode="External" /><Relationship Type="http://schemas.openxmlformats.org/officeDocument/2006/relationships/hyperlink" Id="rId38" Target="http://www.circ.gov.cn/web/site0/tab5168/info4035445.htm" TargetMode="External" /><Relationship Type="http://schemas.openxmlformats.org/officeDocument/2006/relationships/hyperlink" Id="rId32" Target="http://www.csrc.gov.cn/pub/newsite/zjhxwfb/xwdd/201607/t20160713_300658.html" TargetMode="External" /><Relationship Type="http://schemas.openxmlformats.org/officeDocument/2006/relationships/hyperlink" Id="rId68" Target="http://www.miit.gov.cn/n1146295/n1652858/n1652930/n3757016/c5122782/content.html" TargetMode="External" /><Relationship Type="http://schemas.openxmlformats.org/officeDocument/2006/relationships/hyperlink" Id="rId80" Target="http://www.miit.gov.cn/n1146295/n1652858/n1652930/n3757016/c5137974/content.html" TargetMode="External" /><Relationship Type="http://schemas.openxmlformats.org/officeDocument/2006/relationships/hyperlink" Id="rId64" Target="http://www.mlr.gov.cn/zwgk/zytz/201607/t20160712_1411348.htm" TargetMode="External" /><Relationship Type="http://schemas.openxmlformats.org/officeDocument/2006/relationships/hyperlink" Id="rId52" Target="http://www.ndrc.gov.cn/zcfb/zcfbtz/201607/t20160712_811040.html" TargetMode="External" /><Relationship Type="http://schemas.openxmlformats.org/officeDocument/2006/relationships/hyperlink" Id="rId77" Target="http://www.saic.gov.cn/zwgk/zyfb/zjl/xxzx/201607/t20160708_169638.html" TargetMode="External" /><Relationship Type="http://schemas.openxmlformats.org/officeDocument/2006/relationships/hyperlink" Id="rId74" Target="http://www.saic.gov.cn/zwgk/zyfb/zjl/xxzx/201607/t20160708_169649.html" TargetMode="External" /><Relationship Type="http://schemas.openxmlformats.org/officeDocument/2006/relationships/hyperlink" Id="rId71" Target="http://www.saic.gov.cn/zwgk/zyfb/zjwj/xxzx/201607/t20160708_169639.html" TargetMode="External" /><Relationship Type="http://schemas.openxmlformats.org/officeDocument/2006/relationships/hyperlink" Id="rId25" Target="http://www.szse.cn/main/disclosure/bsgg_front/39760541.shtml" TargetMode="External" /><Relationship Type="http://schemas.openxmlformats.org/officeDocument/2006/relationships/hyperlink" Id="rId42" Target="http://www.tax.sh.gov.cn/pub/xxgk/zcfg/ssxd/201607/t20160713_425681.html" TargetMode="External" /><Relationship Type="http://schemas.openxmlformats.org/officeDocument/2006/relationships/hyperlink" Id="rId56" Target="http://www.tax.sh.gov.cn/pub/xxgk/zcfg/tdzzs/201607/t20160712_425621.html" TargetMode="External" /><Relationship Type="http://schemas.openxmlformats.org/officeDocument/2006/relationships/hyperlink" Id="rId9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5" Target="10.pdf" TargetMode="External" /><Relationship Type="http://schemas.openxmlformats.org/officeDocument/2006/relationships/hyperlink" Id="rId66" Target="10a.pdf" TargetMode="External" /><Relationship Type="http://schemas.openxmlformats.org/officeDocument/2006/relationships/hyperlink" Id="rId69" Target="11.pdf" TargetMode="External" /><Relationship Type="http://schemas.openxmlformats.org/officeDocument/2006/relationships/hyperlink" Id="rId72" Target="12.pdf" TargetMode="External" /><Relationship Type="http://schemas.openxmlformats.org/officeDocument/2006/relationships/hyperlink" Id="rId75" Target="13.pdf" TargetMode="External" /><Relationship Type="http://schemas.openxmlformats.org/officeDocument/2006/relationships/hyperlink" Id="rId78" Target="14.pdf" TargetMode="External" /><Relationship Type="http://schemas.openxmlformats.org/officeDocument/2006/relationships/hyperlink" Id="rId81" Target="15.pdf" TargetMode="External" /><Relationship Type="http://schemas.openxmlformats.org/officeDocument/2006/relationships/hyperlink" Id="rId82" Target="15a.pdf" TargetMode="External" /><Relationship Type="http://schemas.openxmlformats.org/officeDocument/2006/relationships/hyperlink" Id="rId86" Target="16.pdf" TargetMode="External" /><Relationship Type="http://schemas.openxmlformats.org/officeDocument/2006/relationships/hyperlink" Id="rId89" Target="17.pdf" TargetMode="External" /><Relationship Type="http://schemas.openxmlformats.org/officeDocument/2006/relationships/hyperlink" Id="rId92" Target="18.pdf" TargetMode="External" /><Relationship Type="http://schemas.openxmlformats.org/officeDocument/2006/relationships/hyperlink" Id="rId95" Target="19.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5" Target="3b.pdf" TargetMode="External" /><Relationship Type="http://schemas.openxmlformats.org/officeDocument/2006/relationships/hyperlink" Id="rId39" Target="4.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5" Target="5b.pdf" TargetMode="External" /><Relationship Type="http://schemas.openxmlformats.org/officeDocument/2006/relationships/hyperlink" Id="rId48" Target="6.pdf" TargetMode="External" /><Relationship Type="http://schemas.openxmlformats.org/officeDocument/2006/relationships/hyperlink" Id="rId49" Target="6a.pdf" TargetMode="External" /><Relationship Type="http://schemas.openxmlformats.org/officeDocument/2006/relationships/hyperlink" Id="rId50" Target="6b.pdf" TargetMode="External" /><Relationship Type="http://schemas.openxmlformats.org/officeDocument/2006/relationships/hyperlink" Id="rId53" Target="7.pdf" TargetMode="External" /><Relationship Type="http://schemas.openxmlformats.org/officeDocument/2006/relationships/hyperlink" Id="rId54" Target="7a.pdf" TargetMode="External" /><Relationship Type="http://schemas.openxmlformats.org/officeDocument/2006/relationships/hyperlink" Id="rId57" Target="8.pdf" TargetMode="External" /><Relationship Type="http://schemas.openxmlformats.org/officeDocument/2006/relationships/hyperlink" Id="rId58" Target="8a.pdf" TargetMode="External" /><Relationship Type="http://schemas.openxmlformats.org/officeDocument/2006/relationships/hyperlink" Id="rId61" Target="9.pdf" TargetMode="External" /><Relationship Type="http://schemas.openxmlformats.org/officeDocument/2006/relationships/hyperlink" Id="rId91" Target="http://epaper.stcn.com/paper/zqsb/html/2016-07/12/content_848564.htm" TargetMode="External" /><Relationship Type="http://schemas.openxmlformats.org/officeDocument/2006/relationships/hyperlink" Id="rId85" Target="http://epaper.stcn.com/paper/zqsb/html/epaper/index/content_849624.htm" TargetMode="External" /><Relationship Type="http://schemas.openxmlformats.org/officeDocument/2006/relationships/hyperlink" Id="rId88" Target="http://epaper.stcn.com/paper/zqsb/html/epaper/index/content_849628.htm" TargetMode="External" /><Relationship Type="http://schemas.openxmlformats.org/officeDocument/2006/relationships/hyperlink" Id="rId94" Target="http://epaper.stcn.com/paper/zqsb/html/epaper/index/content_850247.htm" TargetMode="External" /><Relationship Type="http://schemas.openxmlformats.org/officeDocument/2006/relationships/hyperlink" Id="rId29" Target="http://finance.ifeng.com/a/20160708/14577352_0.shtml" TargetMode="External" /><Relationship Type="http://schemas.openxmlformats.org/officeDocument/2006/relationships/hyperlink" Id="rId21" Target="http://www.charltonslaw.com.cn/china-news-alerts-cn-issue-508/" TargetMode="External" /><Relationship Type="http://schemas.openxmlformats.org/officeDocument/2006/relationships/hyperlink" Id="rId60" Target="http://www.chinatax.gov.cn/n810341/n810755/c2204368/content.html" TargetMode="External" /><Relationship Type="http://schemas.openxmlformats.org/officeDocument/2006/relationships/hyperlink" Id="rId47" Target="http://www.chinatax.gov.cn/n810341/n810755/c2208413/content.html" TargetMode="External" /><Relationship Type="http://schemas.openxmlformats.org/officeDocument/2006/relationships/hyperlink" Id="rId38" Target="http://www.circ.gov.cn/web/site0/tab5168/info4035445.htm" TargetMode="External" /><Relationship Type="http://schemas.openxmlformats.org/officeDocument/2006/relationships/hyperlink" Id="rId32" Target="http://www.csrc.gov.cn/pub/newsite/zjhxwfb/xwdd/201607/t20160713_300658.html" TargetMode="External" /><Relationship Type="http://schemas.openxmlformats.org/officeDocument/2006/relationships/hyperlink" Id="rId68" Target="http://www.miit.gov.cn/n1146295/n1652858/n1652930/n3757016/c5122782/content.html" TargetMode="External" /><Relationship Type="http://schemas.openxmlformats.org/officeDocument/2006/relationships/hyperlink" Id="rId80" Target="http://www.miit.gov.cn/n1146295/n1652858/n1652930/n3757016/c5137974/content.html" TargetMode="External" /><Relationship Type="http://schemas.openxmlformats.org/officeDocument/2006/relationships/hyperlink" Id="rId64" Target="http://www.mlr.gov.cn/zwgk/zytz/201607/t20160712_1411348.htm" TargetMode="External" /><Relationship Type="http://schemas.openxmlformats.org/officeDocument/2006/relationships/hyperlink" Id="rId52" Target="http://www.ndrc.gov.cn/zcfb/zcfbtz/201607/t20160712_811040.html" TargetMode="External" /><Relationship Type="http://schemas.openxmlformats.org/officeDocument/2006/relationships/hyperlink" Id="rId77" Target="http://www.saic.gov.cn/zwgk/zyfb/zjl/xxzx/201607/t20160708_169638.html" TargetMode="External" /><Relationship Type="http://schemas.openxmlformats.org/officeDocument/2006/relationships/hyperlink" Id="rId74" Target="http://www.saic.gov.cn/zwgk/zyfb/zjl/xxzx/201607/t20160708_169649.html" TargetMode="External" /><Relationship Type="http://schemas.openxmlformats.org/officeDocument/2006/relationships/hyperlink" Id="rId71" Target="http://www.saic.gov.cn/zwgk/zyfb/zjwj/xxzx/201607/t20160708_169639.html" TargetMode="External" /><Relationship Type="http://schemas.openxmlformats.org/officeDocument/2006/relationships/hyperlink" Id="rId25" Target="http://www.szse.cn/main/disclosure/bsgg_front/39760541.shtml" TargetMode="External" /><Relationship Type="http://schemas.openxmlformats.org/officeDocument/2006/relationships/hyperlink" Id="rId42" Target="http://www.tax.sh.gov.cn/pub/xxgk/zcfg/ssxd/201607/t20160713_425681.html" TargetMode="External" /><Relationship Type="http://schemas.openxmlformats.org/officeDocument/2006/relationships/hyperlink" Id="rId56" Target="http://www.tax.sh.gov.cn/pub/xxgk/zcfg/tdzzs/201607/t20160712_425621.html" TargetMode="External" /><Relationship Type="http://schemas.openxmlformats.org/officeDocument/2006/relationships/hyperlink" Id="rId9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第508期 - 2016年07月15日</dc:title>
  <dc:creator/>
</cp:coreProperties>
</file>