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第510期</w:t>
      </w:r>
      <w:r>
        <w:t xml:space="preserve"> </w:t>
      </w:r>
      <w:r>
        <w:t xml:space="preserve">-</w:t>
      </w:r>
      <w:r>
        <w:t xml:space="preserve"> </w:t>
      </w:r>
      <w:r>
        <w:t xml:space="preserve">2016年08月01日</w:t>
      </w:r>
    </w:p>
    <w:p>
      <w:hyperlink r:id="rId21">
        <w:r>
          <w:rPr>
            <w:rStyle w:val="Link"/>
          </w:rPr>
          <w:t xml:space="preserve">网络版</w:t>
        </w:r>
      </w:hyperlink>
    </w:p>
    <w:p>
      <w:pPr>
        <w:pStyle w:val="Heading1"/>
      </w:pPr>
      <w:bookmarkStart w:id="22" w:name="上交所发文加强证券停复牌业务管理"/>
      <w:bookmarkEnd w:id="22"/>
      <w:r>
        <w:t xml:space="preserve">上交所发文加强证券停复牌业务管理</w:t>
      </w:r>
    </w:p>
    <w:p>
      <w:pPr>
        <w:pStyle w:val="Heading2"/>
      </w:pPr>
      <w:bookmarkStart w:id="23" w:name="资本市场"/>
      <w:bookmarkEnd w:id="23"/>
      <w:r>
        <w:t xml:space="preserve">资本市场</w:t>
      </w:r>
    </w:p>
    <w:p>
      <w:pPr>
        <w:pStyle w:val="Heading3"/>
      </w:pPr>
      <w:bookmarkStart w:id="24" w:name="上交所发文加强证券停复牌业务管理-1"/>
      <w:bookmarkEnd w:id="24"/>
      <w:r>
        <w:t xml:space="preserve">上交所发文加强证券停复牌业务管理</w:t>
      </w:r>
    </w:p>
    <w:p>
      <w:r>
        <w:t xml:space="preserve">近日，上海证券交易所发布《关于实施上市公司证券停复牌业务操作闭环及加强停复牌业务管理有关事项的通知》（下称《通知》），自2016年8月1日起实施证券停复牌操作闭环业务流程。</w:t>
      </w:r>
    </w:p>
    <w:p>
      <w:r>
        <w:t xml:space="preserve">《通知》定义了证券停复牌业务操作闭环，强调了上市公司的主体责任和董事会秘书的相应责任，要求上市公司防遗漏、防差错，及时提出停复牌申请并认真核对其准确性和完整性。《通知》规定，上市公司应严格按照有关规则在规定的时间内提交停复牌业务申请，即：在交易日8点半前提交早间随公告紧急停牌申请；交易日8点50前提交早间无公告紧急停牌申请；交易日12点半前提交午间紧急停牌申请；交易日17点前提交盘后停复牌申请。</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交所修订港股通交易风险揭示书必备条款"/>
      <w:bookmarkEnd w:id="27"/>
      <w:r>
        <w:t xml:space="preserve">上交所修订港股通交易风险揭示书必备条款</w:t>
      </w:r>
    </w:p>
    <w:p>
      <w:r>
        <w:t xml:space="preserve">近日，上交所和中国结算联合发布《关于修订〈港股通交易风险揭示书必备条款〉的通知》（下称《通知》）。</w:t>
      </w:r>
    </w:p>
    <w:p>
      <w:r>
        <w:t xml:space="preserve">《通知》主要涉及三个方面的修订：1.在有关风险提示条款中相应补充收市竞价交易时段，并增加提示收市竞价交易时段申报价格限制的风险。2.增加有关市场波动调节机制下买卖申报价格限制的风险提示。3.根据港股通投资者参与股票发行人供股、公开配售的现有安排，更新有关风险提示的表述。根据《通知》，对于新申请开通港股通交易权限的投资者，证券公司应充分告知其有关风险，并要求其签署包含修订后必备条款的风险揭示书；对于已开通的，应采取有效措施补充揭示相关风险。</w:t>
      </w:r>
    </w:p>
    <w:p>
      <w:hyperlink r:id="rId28">
        <w:r>
          <w:rPr>
            <w:rStyle w:val="Link"/>
          </w:rPr>
          <w:t xml:space="preserve">来源</w:t>
        </w:r>
      </w:hyperlink>
      <w:r>
        <w:t xml:space="preserve"> </w:t>
      </w:r>
      <w:r>
        <w:t xml:space="preserve">(</w:t>
      </w:r>
      <w:hyperlink r:id="rId29">
        <w:r>
          <w:rPr>
            <w:rStyle w:val="Link"/>
          </w:rPr>
          <w:t xml:space="preserve">副本</w:t>
        </w:r>
      </w:hyperlink>
      <w:r>
        <w:t xml:space="preserve">) (</w:t>
      </w:r>
      <w:hyperlink r:id="rId30">
        <w:r>
          <w:rPr>
            <w:rStyle w:val="Link"/>
          </w:rPr>
          <w:t xml:space="preserve">副本</w:t>
        </w:r>
      </w:hyperlink>
      <w:r>
        <w:t xml:space="preserve">)</w:t>
      </w:r>
    </w:p>
    <w:p>
      <w:pPr>
        <w:pStyle w:val="Heading3"/>
      </w:pPr>
      <w:bookmarkStart w:id="31" w:name="证监会制发资本市场交易结算系统核心技术指标"/>
      <w:bookmarkEnd w:id="31"/>
      <w:r>
        <w:t xml:space="preserve">证监会制发资本市场交易结算系统核心技术指标</w:t>
      </w:r>
    </w:p>
    <w:p>
      <w:r>
        <w:t xml:space="preserve">近日，证监会公布金融行业推荐性标准《资本市场交易结算系统核心技术指标》（下称《指标》），自公布之日施行。</w:t>
      </w:r>
    </w:p>
    <w:p>
      <w:r>
        <w:t xml:space="preserve">《指标》规定了有关术语和定义、性能指标、容量指标、连续性指标、静态指标和功能指标，适用于资本市场核心机构的交易结算系统。《指标》为交易结算系统适应多层次资本市场建设、创新业务发展、跨市场交易等提供技术依据；统一了行业对于相关指标的认知，实现对现有及新建核心交易系统处理能力评估标准化；有助于在技术层面上支撑金融资本市场开放及创新。</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税务"/>
      <w:bookmarkEnd w:id="34"/>
      <w:r>
        <w:t xml:space="preserve">税务</w:t>
      </w:r>
    </w:p>
    <w:p>
      <w:pPr>
        <w:pStyle w:val="Heading3"/>
      </w:pPr>
      <w:bookmarkStart w:id="35" w:name="税总修订出口退免税企业分类管理办法"/>
      <w:bookmarkEnd w:id="35"/>
      <w:r>
        <w:t xml:space="preserve">税总修订出口退免税企业分类管理办法</w:t>
      </w:r>
    </w:p>
    <w:p>
      <w:r>
        <w:t xml:space="preserve">近日，国税总局修订发布《出口退（免）税企业分类管理办法》（下称《办法》），自2016年9月1日起施行。</w:t>
      </w:r>
    </w:p>
    <w:p>
      <w:r>
        <w:t xml:space="preserve">《办法》规定，一类出口企业按生产企业、外贸企业和外贸综合服务企业分别制定评定标准，其中外贸企业应符合“外汇管理的分类管理等级为A级”等七项条件。而具有“法定代表人新成立”等九项情形之一的出口企业应评定为四类。根据《办法》，一类出口企业享有绿色办税通道（特约服务区）、优先办理出口退税等优惠，纳税信用级别为A级的还享有联合激励待遇。《办法》明确，国税机关在评定管理类别时应按上年类别逐级晋级，并将四类企业2年内不得评定为其他管理类别的时间限制缩短为12个月。</w:t>
      </w:r>
    </w:p>
    <w:p>
      <w:hyperlink r:id="rId36">
        <w:r>
          <w:rPr>
            <w:rStyle w:val="Link"/>
          </w:rPr>
          <w:t xml:space="preserve">来源</w:t>
        </w:r>
      </w:hyperlink>
      <w:r>
        <w:t xml:space="preserve"> </w:t>
      </w:r>
      <w:r>
        <w:t xml:space="preserve">(</w:t>
      </w:r>
      <w:hyperlink r:id="rId37">
        <w:r>
          <w:rPr>
            <w:rStyle w:val="Link"/>
          </w:rPr>
          <w:t xml:space="preserve">副本</w:t>
        </w:r>
      </w:hyperlink>
      <w:r>
        <w:t xml:space="preserve">) (</w:t>
      </w:r>
      <w:hyperlink r:id="rId38">
        <w:r>
          <w:rPr>
            <w:rStyle w:val="Link"/>
          </w:rPr>
          <w:t xml:space="preserve">副本</w:t>
        </w:r>
      </w:hyperlink>
      <w:r>
        <w:t xml:space="preserve">) (</w:t>
      </w:r>
      <w:hyperlink r:id="rId39">
        <w:r>
          <w:rPr>
            <w:rStyle w:val="Link"/>
          </w:rPr>
          <w:t xml:space="preserve">副本</w:t>
        </w:r>
      </w:hyperlink>
      <w:r>
        <w:t xml:space="preserve">) (</w:t>
      </w:r>
      <w:hyperlink r:id="rId40">
        <w:r>
          <w:rPr>
            <w:rStyle w:val="Link"/>
          </w:rPr>
          <w:t xml:space="preserve">副本</w:t>
        </w:r>
      </w:hyperlink>
      <w:r>
        <w:t xml:space="preserve">)</w:t>
      </w:r>
    </w:p>
    <w:p>
      <w:pPr>
        <w:pStyle w:val="Heading3"/>
      </w:pPr>
      <w:bookmarkStart w:id="41" w:name="国税总局强化增值税税控系统管理"/>
      <w:bookmarkEnd w:id="41"/>
      <w:r>
        <w:t xml:space="preserve">国税总局强化增值税税控系统管理</w:t>
      </w:r>
    </w:p>
    <w:p>
      <w:r>
        <w:t xml:space="preserve">近日，国税总局发布《关于加强增值税税控系统管理有关问题的通知》（下称《通知》）。</w:t>
      </w:r>
    </w:p>
    <w:p>
      <w:r>
        <w:t xml:space="preserve">《通知》规定，集团总部采取集中购买税控一体化解决方案的纳税人，其所需的税控专用设备可直接向航天信息股份有限公司或国家信息安全工程技术研究中心，以及上述两家单位授权的销售单位购买。销售单位应保障税控专用设备的质量和如数供应，不得以任何理由推诿、拖延或拒绝纳税人的购买要求。《通知》明确，销售单位不得向纳税人指定增值税税控系统维护服务单位，不得强迫纳税人接受服务，纳税人向服务单位提出安装要求后，服务单位应在3个工作日内完成安装、调试；严禁销售及服务单位违规搭售设备、软件、其他商品，或收取规定之外的各种名目的费用。</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保险"/>
      <w:bookmarkEnd w:id="44"/>
      <w:r>
        <w:t xml:space="preserve">保险</w:t>
      </w:r>
    </w:p>
    <w:p>
      <w:pPr>
        <w:pStyle w:val="Heading3"/>
      </w:pPr>
      <w:bookmarkStart w:id="45" w:name="保监会发文加强保险公司股权信息披露"/>
      <w:bookmarkEnd w:id="45"/>
      <w:r>
        <w:t xml:space="preserve">保监会发文加强保险公司股权信息披露</w:t>
      </w:r>
    </w:p>
    <w:p>
      <w:r>
        <w:t xml:space="preserve">近日，保监会下发《关于进一步加强保险公司股权信息披露有关事项的通知》（下称《通知》），自发布之日实施。</w:t>
      </w:r>
    </w:p>
    <w:p>
      <w:r>
        <w:t xml:space="preserve">《通知》主要内容包括：一是信息披露的义务人为保险公司股东，股东应当确保提交披露内容的真实完整。二是信息披露的内容包括决策程序、增资方案或股东变更的具体情况、资金来源声明、股东之间关联关系说明等。三是信息披露的平台主要是公司官方网站和中国保险行业协会网站。四是信息披露的时间是股东大会或董事会通过相关决议后的10个工作日。</w:t>
      </w:r>
    </w:p>
    <w:p>
      <w:hyperlink r:id="rId46">
        <w:r>
          <w:rPr>
            <w:rStyle w:val="Link"/>
          </w:rPr>
          <w:t xml:space="preserve">来源</w:t>
        </w:r>
      </w:hyperlink>
      <w:r>
        <w:t xml:space="preserve"> </w:t>
      </w:r>
      <w:r>
        <w:t xml:space="preserve">(</w:t>
      </w:r>
      <w:hyperlink r:id="rId47">
        <w:r>
          <w:rPr>
            <w:rStyle w:val="Link"/>
          </w:rPr>
          <w:t xml:space="preserve">副本</w:t>
        </w:r>
      </w:hyperlink>
      <w:r>
        <w:t xml:space="preserve">) (</w:t>
      </w:r>
      <w:hyperlink r:id="rId48">
        <w:r>
          <w:rPr>
            <w:rStyle w:val="Link"/>
          </w:rPr>
          <w:t xml:space="preserve">副本</w:t>
        </w:r>
      </w:hyperlink>
      <w:r>
        <w:t xml:space="preserve">) (</w:t>
      </w:r>
      <w:hyperlink r:id="rId49">
        <w:r>
          <w:rPr>
            <w:rStyle w:val="Link"/>
          </w:rPr>
          <w:t xml:space="preserve">副本</w:t>
        </w:r>
      </w:hyperlink>
      <w:r>
        <w:t xml:space="preserve">) (</w:t>
      </w:r>
      <w:hyperlink r:id="rId50">
        <w:r>
          <w:rPr>
            <w:rStyle w:val="Link"/>
          </w:rPr>
          <w:t xml:space="preserve">副本</w:t>
        </w:r>
      </w:hyperlink>
      <w:r>
        <w:t xml:space="preserve">)</w:t>
      </w:r>
    </w:p>
    <w:p>
      <w:pPr>
        <w:pStyle w:val="Heading2"/>
      </w:pPr>
      <w:bookmarkStart w:id="51" w:name="行业"/>
      <w:bookmarkEnd w:id="51"/>
      <w:r>
        <w:t xml:space="preserve">行业</w:t>
      </w:r>
    </w:p>
    <w:p>
      <w:pPr>
        <w:pStyle w:val="Heading3"/>
      </w:pPr>
      <w:bookmarkStart w:id="52" w:name="三部门启动发展服务型制造专项行动"/>
      <w:bookmarkEnd w:id="52"/>
      <w:r>
        <w:t xml:space="preserve">三部门启动发展服务型制造专项行动</w:t>
      </w:r>
    </w:p>
    <w:p>
      <w:r>
        <w:t xml:space="preserve">日前，工信部等三部门联合下发《发展服务型制造专项行动指南》（下称《指南》）。</w:t>
      </w:r>
    </w:p>
    <w:p>
      <w:r>
        <w:t xml:space="preserve">《指南》提出，到2018年，力争完成培育50家服务能力强、行业影响大的服务型制造示范企业；支持100项服务水平高、带动作用好的示范项目；建设50个功能完备、运转高效的公共服务平台；遴选5个服务特色鲜明、配套体系健全的示范城市。据此，《指南》确立设计服务提升行动、制造效能提升行动、客户价值提升行动以及服务模式创新行动等四项行动。其中，《指南》明确，推行合同能源管理，重点支持钢铁、有色、建材、石化、化工、电力等行业实施节能改造；有序发展相关金融服务，支持符合条件的制造业企业发起设立或参股财务公司等，提高要素生产率。</w:t>
      </w:r>
    </w:p>
    <w:p>
      <w:hyperlink r:id="rId53">
        <w:r>
          <w:rPr>
            <w:rStyle w:val="Link"/>
          </w:rPr>
          <w:t xml:space="preserve">来源</w:t>
        </w:r>
      </w:hyperlink>
      <w:r>
        <w:t xml:space="preserve"> </w:t>
      </w:r>
      <w:r>
        <w:t xml:space="preserve">(</w:t>
      </w:r>
      <w:hyperlink r:id="rId54">
        <w:r>
          <w:rPr>
            <w:rStyle w:val="Link"/>
          </w:rPr>
          <w:t xml:space="preserve">副本</w:t>
        </w:r>
      </w:hyperlink>
      <w:r>
        <w:t xml:space="preserve">) (</w:t>
      </w:r>
      <w:hyperlink r:id="rId55">
        <w:r>
          <w:rPr>
            <w:rStyle w:val="Link"/>
          </w:rPr>
          <w:t xml:space="preserve">副本</w:t>
        </w:r>
      </w:hyperlink>
      <w:r>
        <w:t xml:space="preserve">)</w:t>
      </w:r>
    </w:p>
    <w:p>
      <w:pPr>
        <w:pStyle w:val="Heading3"/>
      </w:pPr>
      <w:bookmarkStart w:id="56" w:name="工商总局大力推进商标注册便利化改革"/>
      <w:bookmarkEnd w:id="56"/>
      <w:r>
        <w:t xml:space="preserve">工商总局：大力推进商标注册便利化改革</w:t>
      </w:r>
    </w:p>
    <w:p>
      <w:r>
        <w:t xml:space="preserve">日前，工商总局下发《关于大力推进商标注册便利化改革的意见》（下称《意见》）。</w:t>
      </w:r>
    </w:p>
    <w:p>
      <w:r>
        <w:t xml:space="preserve">《意见》提出，通过拓展商标申请渠道、简化商标注册手续、优化商标注册流程、完善商标审查机制、加强商标信用监管等手段，进一步方便申请人申请注册商标。其中，在申请渠道方面，《意见》明确，将委托地方受理商标注册申请、设立京外商标审查协作中心、设立地方注册商标质权登记申请受理点以及推行网上申请。在简化流程方面，《意见》强调，采用调整内部程序等方式将商标注册申请受理通知书发放时间由6个月左右缩短至3个月内，简化部分商标注册申请材料和手续，同时清理商标书式和精简商标发文，开通注册商标后续业务快速审查通道。</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食药监总局发文加强现场制售食品监管"/>
      <w:bookmarkEnd w:id="59"/>
      <w:r>
        <w:t xml:space="preserve">食药监总局发文加强现场制售食品监管</w:t>
      </w:r>
    </w:p>
    <w:p>
      <w:r>
        <w:t xml:space="preserve">近日，食药监总局办公厅发布《关于加强食品销售者现场制售食品监管工作的通知》（下称《通知》）。</w:t>
      </w:r>
    </w:p>
    <w:p>
      <w:r>
        <w:t xml:space="preserve">《通知》从严格规范食品经营资格、制售人员管理、原料采购、制售过程和依法查处违法违规行为五个方面有针对性地强化食品销售者经营场所内现场制售食品监管。根据《通知》，食品经营者应依法建立执行食品加工制作及直接接触食品的销售人员的健康管理制度、进货查验和查验记录制度、食品加工制作配料公示制度。食品经营者在其他经营场所从事现场制售食品活动的，应单独取得所在场所的食品经营许可。《通知》还规定，禁止为消费者提供现场研磨加工服务的食品经营者宣传其产品具有疾病预防、治疗功能等。</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两部门印发可再生能源调峰机组优先发电试行办法"/>
      <w:bookmarkEnd w:id="62"/>
      <w:r>
        <w:t xml:space="preserve">两部门印发可再生能源调峰机组优先发电试行办法</w:t>
      </w:r>
    </w:p>
    <w:p>
      <w:r>
        <w:t xml:space="preserve">日前，国家发改委、能源局等两部门联合发布《可再生能源调峰机组优先发电试行办法》（下称《办法》），自印发之日施行。</w:t>
      </w:r>
    </w:p>
    <w:p>
      <w:r>
        <w:t xml:space="preserve">《办法》明确，为平抑可再生能源发电波动，调峰机组应优先增加或压减出力，调峰能力应至少满足《发电厂并网运行管理规定》有关要求。单机容量30万千瓦及以下的常规煤电机组，出力至少能降到额定容量50%以下；30万千瓦以上的机组，出力至少能降到额定容量60%以下。出力低于60%的部分视为可再生能源调峰的压减出力部分。一般地区可实行轮流7-10天的停机调峰；调峰困难地区或困难时段，视情况延长停机调峰的时间。</w:t>
      </w:r>
    </w:p>
    <w:p>
      <w:hyperlink r:id="rId63">
        <w:r>
          <w:rPr>
            <w:rStyle w:val="Link"/>
          </w:rPr>
          <w:t xml:space="preserve">来源</w:t>
        </w:r>
      </w:hyperlink>
      <w:r>
        <w:t xml:space="preserve"> </w:t>
      </w:r>
      <w:r>
        <w:t xml:space="preserve">(</w:t>
      </w:r>
      <w:hyperlink r:id="rId64">
        <w:r>
          <w:rPr>
            <w:rStyle w:val="Link"/>
          </w:rPr>
          <w:t xml:space="preserve">副本</w:t>
        </w:r>
      </w:hyperlink>
      <w:r>
        <w:t xml:space="preserve">) (</w:t>
      </w:r>
      <w:hyperlink r:id="rId65">
        <w:r>
          <w:rPr>
            <w:rStyle w:val="Link"/>
          </w:rPr>
          <w:t xml:space="preserve">副本</w:t>
        </w:r>
      </w:hyperlink>
      <w:r>
        <w:t xml:space="preserve">)</w:t>
      </w:r>
    </w:p>
    <w:p>
      <w:pPr>
        <w:pStyle w:val="Heading3"/>
      </w:pPr>
      <w:bookmarkStart w:id="66" w:name="工商总局贯彻实施互联网广告管理暂行办法"/>
      <w:bookmarkEnd w:id="66"/>
      <w:r>
        <w:t xml:space="preserve">工商总局：贯彻实施互联网广告管理暂行办法</w:t>
      </w:r>
    </w:p>
    <w:p>
      <w:r>
        <w:t xml:space="preserve">日前，工商总局发出《关于做好〈互联网广告管理暂行办法〉贯彻实施工作的通知》（下称《通知》）。</w:t>
      </w:r>
    </w:p>
    <w:p>
      <w:r>
        <w:t xml:space="preserve">《通知》要求，加快推进“依法管网”、“以网管网”、“信用管网”和“协同管网”，依法查处虚假违法广告，做好互联网广告监管工作。《通知》明确，要按法定权限和程序履行监管职责，严格办案程序，切实做到事实清楚、证据确凿、定性准确、处理恰当、程序合法；对虚假违法广告既要严格依法处罚，同时也要采取警告、约谈等方式进行批评教育，严禁以罚代管、一罚了之。</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两办发文指导国家信息化发展"/>
      <w:bookmarkEnd w:id="69"/>
      <w:r>
        <w:t xml:space="preserve">两办发文指导国家信息化发展</w:t>
      </w:r>
    </w:p>
    <w:p>
      <w:r>
        <w:t xml:space="preserve">近日，中共中央办公厅和国务院办公厅联合印发《国家信息化发展战略纲要》（下称《纲要》）。</w:t>
      </w:r>
    </w:p>
    <w:p>
      <w:r>
        <w:t xml:space="preserve">《纲要》提出，到2020年，信息消费总额达到6万亿元，电子商务交易规模达到38万亿元；到2025年，分别达到12万亿元和67万亿元，并涌现一批具有强大国际竞争力的大型跨国网信企业；到本世纪中叶，在引领全球信息化发展方面有更大作为。《纲要》确立了增强发展能力、提升应用水平、优化发展环境三大战略任务，包括14个方面共56项具体内容。其中，增强发展能力要求深化上市发审制度改革，落实企业研发费用加计扣除政策，完善覆盖知识产权、技术标准、成果转化、测试验证和产业化投资评估等环节的公共服务体系。</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并购"/>
      <w:bookmarkEnd w:id="72"/>
      <w:r>
        <w:t xml:space="preserve">并购</w:t>
      </w:r>
    </w:p>
    <w:p>
      <w:pPr>
        <w:pStyle w:val="Heading3"/>
      </w:pPr>
      <w:bookmarkStart w:id="73" w:name="华润三九18.9亿并购圣火药业"/>
      <w:bookmarkEnd w:id="73"/>
      <w:r>
        <w:t xml:space="preserve">华润三九18.9亿并购圣火药业</w:t>
      </w:r>
    </w:p>
    <w:p>
      <w:r>
        <w:t xml:space="preserve">华润三九7月26日晚间发布公告称，为落实公司战略目标，充分发挥核心优势，不断丰富产品线，公司拟收购蓝氏国际医药投资有限公司等6家公司持有的昆明圣火药业（集团）有限公司100%股权。本次交易价款共计18.9亿元（其中与业绩承诺关联的股权转让价款1.8亿元)。</w:t>
      </w:r>
    </w:p>
    <w:p>
      <w:r>
        <w:t xml:space="preserve">公告显示，圣火药业集团的业务包括医药业务及非医药业务，其中非医药业务主要从事旅游景观服务、酒店管理服务、生物科技研发等业务。本次交易目的为购买圣火药业集团医药相关业务，在标的股权交割前，圣火药业集团需完成非医药板块的剥离工作。本次交易标的为圣火药业集团及其下属3家医药业务全资子公司：昆明圣火医药有限公司、昆明圣火化妆品有限责任公司、昆明圣火医药进出口有限公司。</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复星医药拟12.6亿美元收购印度药企86股权"/>
      <w:bookmarkEnd w:id="76"/>
      <w:r>
        <w:t xml:space="preserve">复星医药拟12.6亿美元收购印度药企86%股权</w:t>
      </w:r>
    </w:p>
    <w:p>
      <w:r>
        <w:t xml:space="preserve">复星医药7月28日晚间公告，拟通过控股子公司出资不超过12.61亿美元收购Gland Pharma Limited（以下简称“Gland”或“目标公司”）约86.08%的股权，其中包括收购方将依据Enoxaparin（依诺肝素）于美国上市销售情况所支付的不超过5000万美元的或有对价。</w:t>
      </w:r>
    </w:p>
    <w:p>
      <w:r>
        <w:t xml:space="preserve">具体而言，若Gland的依诺肝素产品于2018年12月31日之前获得FDA审批，并且在美国市场上市或销售，收购方将于依诺肝素市场化之日起2年之内或至2019年12月31日前，根据Gland就依诺肝素产品每季度毛利的50%向创始人股东支付或有对价。若获得FDA审批发生于2016年12月31日之前，则该等或有对价的上限为5000万美元；若获得FDA审批发生于2016年12月31日之后且于2018年12月31日之前，则该等或有对价的上限为2500万美元。若依诺肝素市场化发生于2018年12月31日之后，收购方将不支付任何或有对价。</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万达院线2.8亿美元收购时光网100股权"/>
      <w:bookmarkEnd w:id="79"/>
      <w:r>
        <w:t xml:space="preserve">万达院线2.8亿美元收购时光网100%股权</w:t>
      </w:r>
    </w:p>
    <w:p>
      <w:r>
        <w:t xml:space="preserve">万达院线7月27日晚间公告，公司与侯钟瑜、李龙、PiaoPlus (HK) Limited、Mtime Holdings, Ltd（下称“转让方”）签订《股权转让协议》，收购转让方单独或共同持有的北京影时光电子商务有限公司、北京动艺时光网络科技有限公司、影时光网络技术（北京）有限公司、动艺时光信息技术（北京）有限公司（下称 “时光网全部运营实体”）的全部股权。本次股权收购的交易价格总额为2.8 亿美元，收购完成后公司将持有时光网100%股权。</w:t>
      </w:r>
    </w:p>
    <w:p>
      <w:r>
        <w:t xml:space="preserve">时光网是国内具有较强影响力的影视媒体及电商服务平台，拥有全球规模领先的影视数据库、千万级高质量的电影会员及全球影视娱乐媒体资源，与国内外片商和全国众多影院建立了长期合作关系，可以为电影观众提供从媒体资讯，到评分影评，到在线购票，再到正版衍生品的一站式电影服务体验。</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2">
        <w:r>
          <w:rPr>
            <w:rStyle w:val="Link"/>
          </w:rPr>
          <w:t xml:space="preserve">unsubscribe@charltonslaw.com</w:t>
        </w:r>
      </w:hyperlink>
    </w:p>
    <w:p>
      <w:r>
        <w:rPr>
          <w:b/>
        </w:rPr>
        <w:t xml:space="preserve">易周律师行 - 法讯 - 中国 - 第510期 - 2016年08月01日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1b5faf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4" Target="10.pdf" TargetMode="External" /><Relationship Type="http://schemas.openxmlformats.org/officeDocument/2006/relationships/hyperlink" Id="rId65" Target="10a.pdf" TargetMode="External" /><Relationship Type="http://schemas.openxmlformats.org/officeDocument/2006/relationships/hyperlink" Id="rId68" Target="11.pdf" TargetMode="External" /><Relationship Type="http://schemas.openxmlformats.org/officeDocument/2006/relationships/hyperlink" Id="rId71" Target="12.pdf" TargetMode="External" /><Relationship Type="http://schemas.openxmlformats.org/officeDocument/2006/relationships/hyperlink" Id="rId75" Target="13.pdf" TargetMode="External" /><Relationship Type="http://schemas.openxmlformats.org/officeDocument/2006/relationships/hyperlink" Id="rId78" Target="14.pdf" TargetMode="External" /><Relationship Type="http://schemas.openxmlformats.org/officeDocument/2006/relationships/hyperlink" Id="rId81" Target="15.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38" Target="4a.pdf" TargetMode="External" /><Relationship Type="http://schemas.openxmlformats.org/officeDocument/2006/relationships/hyperlink" Id="rId39" Target="4b.pdf" TargetMode="External" /><Relationship Type="http://schemas.openxmlformats.org/officeDocument/2006/relationships/hyperlink" Id="rId40" Target="4c.pdf" TargetMode="External" /><Relationship Type="http://schemas.openxmlformats.org/officeDocument/2006/relationships/hyperlink" Id="rId43" Target="5.pdf" TargetMode="External" /><Relationship Type="http://schemas.openxmlformats.org/officeDocument/2006/relationships/hyperlink" Id="rId47" Target="6.pdf" TargetMode="External" /><Relationship Type="http://schemas.openxmlformats.org/officeDocument/2006/relationships/hyperlink" Id="rId48" Target="6a.pdf" TargetMode="External" /><Relationship Type="http://schemas.openxmlformats.org/officeDocument/2006/relationships/hyperlink" Id="rId49" Target="6b.pdf" TargetMode="External" /><Relationship Type="http://schemas.openxmlformats.org/officeDocument/2006/relationships/hyperlink" Id="rId50" Target="6c.pdf" TargetMode="External" /><Relationship Type="http://schemas.openxmlformats.org/officeDocument/2006/relationships/hyperlink" Id="rId54" Target="7.pdf" TargetMode="External" /><Relationship Type="http://schemas.openxmlformats.org/officeDocument/2006/relationships/hyperlink" Id="rId55" Target="7a.pdf" TargetMode="External" /><Relationship Type="http://schemas.openxmlformats.org/officeDocument/2006/relationships/hyperlink" Id="rId58" Target="8.pdf" TargetMode="External" /><Relationship Type="http://schemas.openxmlformats.org/officeDocument/2006/relationships/hyperlink" Id="rId61" Target="9.pdf" TargetMode="External" /><Relationship Type="http://schemas.openxmlformats.org/officeDocument/2006/relationships/hyperlink" Id="rId74" Target="http://epaper.stcn.com/paper/zqsb/html/2016-07/27/content_856532.htm" TargetMode="External" /><Relationship Type="http://schemas.openxmlformats.org/officeDocument/2006/relationships/hyperlink" Id="rId77" Target="http://epaper.stcn.com/paper/zqsb/html/epaper/index/content_857530.htm" TargetMode="External" /><Relationship Type="http://schemas.openxmlformats.org/officeDocument/2006/relationships/hyperlink" Id="rId80" Target="http://kuaixun.stcn.com/2016/0727/12812765.shtml" TargetMode="External" /><Relationship Type="http://schemas.openxmlformats.org/officeDocument/2006/relationships/hyperlink" Id="rId21" Target="http://www.charltonslaw.com.cn/china-news-alerts-cn-issue-510/" TargetMode="External" /><Relationship Type="http://schemas.openxmlformats.org/officeDocument/2006/relationships/hyperlink" Id="rId42" Target="http://www.chinatax.gov.cn/n810341/n810755/c2216229/content.html" TargetMode="External" /><Relationship Type="http://schemas.openxmlformats.org/officeDocument/2006/relationships/hyperlink" Id="rId46" Target="http://www.circ.gov.cn/web/site0/tab5168/info4037210.htm" TargetMode="External" /><Relationship Type="http://schemas.openxmlformats.org/officeDocument/2006/relationships/hyperlink" Id="rId32" Target="http://www.csrc.gov.cn/pub/zjhpublic/G00306201/201607/t20160722_301056.htm" TargetMode="External" /><Relationship Type="http://schemas.openxmlformats.org/officeDocument/2006/relationships/hyperlink" Id="rId70" Target="http://www.gov.cn/xinwen/2016-07/27/content_5095336.htm" TargetMode="External" /><Relationship Type="http://schemas.openxmlformats.org/officeDocument/2006/relationships/hyperlink" Id="rId53" Target="http://www.miit.gov.cn/n1146295/n1652858/n1652930/n3757016/c5164359/content.html" TargetMode="External" /><Relationship Type="http://schemas.openxmlformats.org/officeDocument/2006/relationships/hyperlink" Id="rId57" Target="http://www.saic.gov.cn/zwgk/zyfb/zjwj/xxzx/201607/t20160725_170018.html" TargetMode="External" /><Relationship Type="http://schemas.openxmlformats.org/officeDocument/2006/relationships/hyperlink" Id="rId67" Target="http://www.saic.gov.cn/zwgk/zyfb/zjwj/xxzx/201607/t20160727_170079.html" TargetMode="External" /><Relationship Type="http://schemas.openxmlformats.org/officeDocument/2006/relationships/hyperlink" Id="rId60" Target="http://www.sda.gov.cn/WS01/CL1605/160116.html" TargetMode="External" /><Relationship Type="http://schemas.openxmlformats.org/officeDocument/2006/relationships/hyperlink" Id="rId63" Target="http://www.sdpc.gov.cn/gzdt/201607/t20160722_811987.html" TargetMode="External" /><Relationship Type="http://schemas.openxmlformats.org/officeDocument/2006/relationships/hyperlink" Id="rId25" Target="http://www.sse.com.cn/lawandrules/sserules/listing/stock/c/c_20160725_4147163.shtml" TargetMode="External" /><Relationship Type="http://schemas.openxmlformats.org/officeDocument/2006/relationships/hyperlink" Id="rId28" Target="http://www.sse.com.cn/lawandrules/sserules/trading/hkexsc/c/c_20160725_4147131.shtml" TargetMode="External" /><Relationship Type="http://schemas.openxmlformats.org/officeDocument/2006/relationships/hyperlink" Id="rId36" Target="http://www.tax.sh.gov.cn/pub/xxgk/zcfg/jckss/201607/t20160725_425908.html" TargetMode="External" /><Relationship Type="http://schemas.openxmlformats.org/officeDocument/2006/relationships/hyperlink" Id="rId8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4" Target="10.pdf" TargetMode="External" /><Relationship Type="http://schemas.openxmlformats.org/officeDocument/2006/relationships/hyperlink" Id="rId65" Target="10a.pdf" TargetMode="External" /><Relationship Type="http://schemas.openxmlformats.org/officeDocument/2006/relationships/hyperlink" Id="rId68" Target="11.pdf" TargetMode="External" /><Relationship Type="http://schemas.openxmlformats.org/officeDocument/2006/relationships/hyperlink" Id="rId71" Target="12.pdf" TargetMode="External" /><Relationship Type="http://schemas.openxmlformats.org/officeDocument/2006/relationships/hyperlink" Id="rId75" Target="13.pdf" TargetMode="External" /><Relationship Type="http://schemas.openxmlformats.org/officeDocument/2006/relationships/hyperlink" Id="rId78" Target="14.pdf" TargetMode="External" /><Relationship Type="http://schemas.openxmlformats.org/officeDocument/2006/relationships/hyperlink" Id="rId81" Target="15.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38" Target="4a.pdf" TargetMode="External" /><Relationship Type="http://schemas.openxmlformats.org/officeDocument/2006/relationships/hyperlink" Id="rId39" Target="4b.pdf" TargetMode="External" /><Relationship Type="http://schemas.openxmlformats.org/officeDocument/2006/relationships/hyperlink" Id="rId40" Target="4c.pdf" TargetMode="External" /><Relationship Type="http://schemas.openxmlformats.org/officeDocument/2006/relationships/hyperlink" Id="rId43" Target="5.pdf" TargetMode="External" /><Relationship Type="http://schemas.openxmlformats.org/officeDocument/2006/relationships/hyperlink" Id="rId47" Target="6.pdf" TargetMode="External" /><Relationship Type="http://schemas.openxmlformats.org/officeDocument/2006/relationships/hyperlink" Id="rId48" Target="6a.pdf" TargetMode="External" /><Relationship Type="http://schemas.openxmlformats.org/officeDocument/2006/relationships/hyperlink" Id="rId49" Target="6b.pdf" TargetMode="External" /><Relationship Type="http://schemas.openxmlformats.org/officeDocument/2006/relationships/hyperlink" Id="rId50" Target="6c.pdf" TargetMode="External" /><Relationship Type="http://schemas.openxmlformats.org/officeDocument/2006/relationships/hyperlink" Id="rId54" Target="7.pdf" TargetMode="External" /><Relationship Type="http://schemas.openxmlformats.org/officeDocument/2006/relationships/hyperlink" Id="rId55" Target="7a.pdf" TargetMode="External" /><Relationship Type="http://schemas.openxmlformats.org/officeDocument/2006/relationships/hyperlink" Id="rId58" Target="8.pdf" TargetMode="External" /><Relationship Type="http://schemas.openxmlformats.org/officeDocument/2006/relationships/hyperlink" Id="rId61" Target="9.pdf" TargetMode="External" /><Relationship Type="http://schemas.openxmlformats.org/officeDocument/2006/relationships/hyperlink" Id="rId74" Target="http://epaper.stcn.com/paper/zqsb/html/2016-07/27/content_856532.htm" TargetMode="External" /><Relationship Type="http://schemas.openxmlformats.org/officeDocument/2006/relationships/hyperlink" Id="rId77" Target="http://epaper.stcn.com/paper/zqsb/html/epaper/index/content_857530.htm" TargetMode="External" /><Relationship Type="http://schemas.openxmlformats.org/officeDocument/2006/relationships/hyperlink" Id="rId80" Target="http://kuaixun.stcn.com/2016/0727/12812765.shtml" TargetMode="External" /><Relationship Type="http://schemas.openxmlformats.org/officeDocument/2006/relationships/hyperlink" Id="rId21" Target="http://www.charltonslaw.com.cn/china-news-alerts-cn-issue-510/" TargetMode="External" /><Relationship Type="http://schemas.openxmlformats.org/officeDocument/2006/relationships/hyperlink" Id="rId42" Target="http://www.chinatax.gov.cn/n810341/n810755/c2216229/content.html" TargetMode="External" /><Relationship Type="http://schemas.openxmlformats.org/officeDocument/2006/relationships/hyperlink" Id="rId46" Target="http://www.circ.gov.cn/web/site0/tab5168/info4037210.htm" TargetMode="External" /><Relationship Type="http://schemas.openxmlformats.org/officeDocument/2006/relationships/hyperlink" Id="rId32" Target="http://www.csrc.gov.cn/pub/zjhpublic/G00306201/201607/t20160722_301056.htm" TargetMode="External" /><Relationship Type="http://schemas.openxmlformats.org/officeDocument/2006/relationships/hyperlink" Id="rId70" Target="http://www.gov.cn/xinwen/2016-07/27/content_5095336.htm" TargetMode="External" /><Relationship Type="http://schemas.openxmlformats.org/officeDocument/2006/relationships/hyperlink" Id="rId53" Target="http://www.miit.gov.cn/n1146295/n1652858/n1652930/n3757016/c5164359/content.html" TargetMode="External" /><Relationship Type="http://schemas.openxmlformats.org/officeDocument/2006/relationships/hyperlink" Id="rId57" Target="http://www.saic.gov.cn/zwgk/zyfb/zjwj/xxzx/201607/t20160725_170018.html" TargetMode="External" /><Relationship Type="http://schemas.openxmlformats.org/officeDocument/2006/relationships/hyperlink" Id="rId67" Target="http://www.saic.gov.cn/zwgk/zyfb/zjwj/xxzx/201607/t20160727_170079.html" TargetMode="External" /><Relationship Type="http://schemas.openxmlformats.org/officeDocument/2006/relationships/hyperlink" Id="rId60" Target="http://www.sda.gov.cn/WS01/CL1605/160116.html" TargetMode="External" /><Relationship Type="http://schemas.openxmlformats.org/officeDocument/2006/relationships/hyperlink" Id="rId63" Target="http://www.sdpc.gov.cn/gzdt/201607/t20160722_811987.html" TargetMode="External" /><Relationship Type="http://schemas.openxmlformats.org/officeDocument/2006/relationships/hyperlink" Id="rId25" Target="http://www.sse.com.cn/lawandrules/sserules/listing/stock/c/c_20160725_4147163.shtml" TargetMode="External" /><Relationship Type="http://schemas.openxmlformats.org/officeDocument/2006/relationships/hyperlink" Id="rId28" Target="http://www.sse.com.cn/lawandrules/sserules/trading/hkexsc/c/c_20160725_4147131.shtml" TargetMode="External" /><Relationship Type="http://schemas.openxmlformats.org/officeDocument/2006/relationships/hyperlink" Id="rId36" Target="http://www.tax.sh.gov.cn/pub/xxgk/zcfg/jckss/201607/t20160725_425908.html" TargetMode="External" /><Relationship Type="http://schemas.openxmlformats.org/officeDocument/2006/relationships/hyperlink" Id="rId8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第510期 - 2016年08月01日</dc:title>
  <dc:creator/>
</cp:coreProperties>
</file>