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第512期</w:t>
      </w:r>
      <w:r>
        <w:t xml:space="preserve"> </w:t>
      </w:r>
      <w:r>
        <w:t xml:space="preserve">-</w:t>
      </w:r>
      <w:r>
        <w:t xml:space="preserve"> </w:t>
      </w:r>
      <w:r>
        <w:t xml:space="preserve">2016年08月12日</w:t>
      </w:r>
    </w:p>
    <w:p>
      <w:hyperlink r:id="rId21">
        <w:r>
          <w:rPr>
            <w:rStyle w:val="Link"/>
          </w:rPr>
          <w:t xml:space="preserve">网络版</w:t>
        </w:r>
      </w:hyperlink>
    </w:p>
    <w:p>
      <w:pPr>
        <w:pStyle w:val="Heading1"/>
      </w:pPr>
      <w:bookmarkStart w:id="22" w:name="全国银行间同业拆借市场业务操作细则发布"/>
      <w:bookmarkEnd w:id="22"/>
      <w:r>
        <w:t xml:space="preserve">全国银行间同业拆借市场业务操作细则发布</w:t>
      </w:r>
    </w:p>
    <w:p>
      <w:pPr>
        <w:pStyle w:val="Heading2"/>
      </w:pPr>
      <w:bookmarkStart w:id="23" w:name="资本市场"/>
      <w:bookmarkEnd w:id="23"/>
      <w:r>
        <w:t xml:space="preserve">资本市场</w:t>
      </w:r>
    </w:p>
    <w:p>
      <w:pPr>
        <w:pStyle w:val="Heading3"/>
      </w:pPr>
      <w:bookmarkStart w:id="24" w:name="全国银行间同业拆借市场业务操作细则发布-1"/>
      <w:bookmarkEnd w:id="24"/>
      <w:r>
        <w:t xml:space="preserve">全国银行间同业拆借市场业务操作细则发布</w:t>
      </w:r>
    </w:p>
    <w:p>
      <w:r>
        <w:t xml:space="preserve">日前，全国银行间同业拆借中心发布《全国银行间同业拆借市场业务操作细则》（下称《细则》），自公布之日实施。</w:t>
      </w:r>
    </w:p>
    <w:p>
      <w:r>
        <w:t xml:space="preserve">《细则》规定，全国银行间同业拆借中心负责办理交易联网开户手续、市场监测、信息披露服务、更名和终止联网等事项，其仅对金融机构提交的联网信息、财务数据、财务报表、书面说明等材料做形式核对，金融机构应对提交材料的真实性承担法律责任。《细则》明确，符合《同业拆借管理办法》的金融机构进入同业拆借市场，应提交“最近两个年度的资产负债表和损益表”等七类材料；境外人民币清算行进入同业拆借市场，应提交“证明人民币清算行资格的文件”等六项材料。此外，《细则》还对风险控制与信息披露、更名与终止联网等作出规定。</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修订发布证券期货业统计指标标准指引"/>
      <w:bookmarkEnd w:id="27"/>
      <w:r>
        <w:t xml:space="preserve">证监会修订发布证券期货业统计指标标准指引</w:t>
      </w:r>
    </w:p>
    <w:p>
      <w:r>
        <w:t xml:space="preserve">近日，证监会修订发布《证券期货业统计指标标准指引（2016年修订）》（下称《指引》），自2017年1月1日起施行。</w:t>
      </w:r>
    </w:p>
    <w:p>
      <w:r>
        <w:t xml:space="preserve">《指引》包括股票市场、债券市场、基金市场、期货市场、经营机构、全国中小企业股份转让系统、统计分类标准和附录八大部分，适用于规范证券期货监管系统内部的统计工作。《指引》针对分析与决策的需求，主要对股票投资者分类标准进行了修订。《指引》界定了股票投资者的分类依据，细化了投资者的类别，明确了分类的更新频率。其中，自然人投资者按照持股市值规模细分为5个二级分类和9个三级分类；专业机构投资者细分为11个二级分类和19个三级分类；一般机构投资者细分为4个三级分类。</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券质押登记业务实施细则修订发布"/>
      <w:bookmarkEnd w:id="30"/>
      <w:r>
        <w:t xml:space="preserve">证券质押登记业务实施细则修订发布</w:t>
      </w:r>
    </w:p>
    <w:p>
      <w:r>
        <w:t xml:space="preserve">近日，中国结算修订发布《证券质押登记业务实施细则》（下称《实施细则》），自发布之日起实施。</w:t>
      </w:r>
    </w:p>
    <w:p>
      <w:r>
        <w:t xml:space="preserve">《实施细则》共23条，适用于登记在中国结算开立的证券账户中的股票、债券和基金（限于证券交易所场内登记的份额）等证券的质押登记业务。《实施细则》规定，证券质押登记采申报制度，不设具体期限；登记期间发生配股（即向原股东配售股份）时，配股权仍由出质人行使。《实施细则》明确，债务人不履行到期债务或者发生当事人约定的实现质权的情形，质押当事人可申请将证券质押登记状态从“不可卖出质押登记”调整为“可以卖出质押登记”，并以质押证券卖出所得优先偿付质权人，或申请以质押证券转让抵偿质权人。</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税务"/>
      <w:bookmarkEnd w:id="33"/>
      <w:r>
        <w:t xml:space="preserve">税务</w:t>
      </w:r>
    </w:p>
    <w:p>
      <w:pPr>
        <w:pStyle w:val="Heading3"/>
      </w:pPr>
      <w:bookmarkStart w:id="34" w:name="三部门扩大内销选择性征收关税政策试点"/>
      <w:bookmarkEnd w:id="34"/>
      <w:r>
        <w:t xml:space="preserve">三部门：扩大内销选择性征收关税政策试点</w:t>
      </w:r>
    </w:p>
    <w:p>
      <w:r>
        <w:t xml:space="preserve">日前，财政部、海关总署、国家税务总局联合发布《关于扩大内销选择性征收关税政策试点的通知》（下称《通知》），自9月1日起执行。</w:t>
      </w:r>
    </w:p>
    <w:p>
      <w:r>
        <w:t xml:space="preserve">根据《通知》，内销选择性征收关税政策是指对海关特殊监管区域内企业生产、加工并经“二线”内销的货物，根据企业申请，按其对应进口料件或按实际报验状态征收关税，进口环节增值税、消费税照章征收。《通知》将试点扩大到天津、上海、福建、广东四个自贸试验区所在省（市）的其他海关特殊监管区域（保税区、保税物流园区除外），以及河南新郑综合保税区、湖北武汉出口加工区、重庆西永综合保税区、四川成都高新综合保税区和陕西西安出口加工区5个海关特殊监管区域。</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两部门继续执行光伏发电增值税政策"/>
      <w:bookmarkEnd w:id="37"/>
      <w:r>
        <w:t xml:space="preserve">两部门：继续执行光伏发电增值税政策</w:t>
      </w:r>
    </w:p>
    <w:p>
      <w:r>
        <w:t xml:space="preserve">近日，财政部和国税总局联合发布《关于继续执行光伏发电增值税政策的通知》（下称《通知》）。</w:t>
      </w:r>
    </w:p>
    <w:p>
      <w:r>
        <w:t xml:space="preserve">《通知》明确，经国务院批准，继续对光伏发电实行增值税优惠政策。根据《通知》，自2016年1月1日至2018年12月31日，对纳税人销售自产的利用太阳能生产的电力产品，实行增值税即征即退50%的政策。《通知》到达各有关单位之前已经征收的，且按《通知》规定应予退还的增值税，可抵减纳税人以后月份应缴纳的增值税或予以退还。</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两部门发文推进互联网便捷交通实施"/>
      <w:bookmarkEnd w:id="41"/>
      <w:r>
        <w:t xml:space="preserve">两部门发文推进“互联网+”便捷交通实施</w:t>
      </w:r>
    </w:p>
    <w:p>
      <w:r>
        <w:t xml:space="preserve">近日，国家发改委和交通部联合印发《推进“互联网+”便捷交通 促进智能交通发展的实施方案》（下称《方案》）。</w:t>
      </w:r>
    </w:p>
    <w:p>
      <w:r>
        <w:t xml:space="preserve">《方案》提出，到2018年基本实现掌上完成导航、票务和支付等客运全程“一站式”服务，在全国骨干物流通道率先实现“一单到底”，基本实现交通基础设施、载运工具、运行信息等互联网化。《方案》要求加强政企合作，支持互联网企业和交通运输企业完善各类交通信息平台，形成涵盖运输、停车、租赁、修理、救援、衍生服务等领域的综合出行信息服务平台。《方案》还支持研发攻克面向交通安全和自动驾驶的人车路协同通信技术，开展自动驾驶核心零部件技术自主攻关。</w:t>
      </w:r>
    </w:p>
    <w:p>
      <w:hyperlink r:id="rId42">
        <w:r>
          <w:rPr>
            <w:rStyle w:val="Link"/>
          </w:rPr>
          <w:t xml:space="preserve">来源</w:t>
        </w:r>
      </w:hyperlink>
      <w:r>
        <w:t xml:space="preserve"> </w:t>
      </w:r>
      <w:r>
        <w:t xml:space="preserve">(</w:t>
      </w:r>
      <w:hyperlink r:id="rId43">
        <w:r>
          <w:rPr>
            <w:rStyle w:val="Link"/>
          </w:rPr>
          <w:t xml:space="preserve">副本</w:t>
        </w:r>
      </w:hyperlink>
      <w:r>
        <w:t xml:space="preserve">) (</w:t>
      </w:r>
      <w:hyperlink r:id="rId44">
        <w:r>
          <w:rPr>
            <w:rStyle w:val="Link"/>
          </w:rPr>
          <w:t xml:space="preserve">副本</w:t>
        </w:r>
      </w:hyperlink>
      <w:r>
        <w:t xml:space="preserve">)</w:t>
      </w:r>
    </w:p>
    <w:p>
      <w:pPr>
        <w:pStyle w:val="Heading3"/>
      </w:pPr>
      <w:bookmarkStart w:id="45" w:name="两部门规范电力项目开工建设秩序"/>
      <w:bookmarkEnd w:id="45"/>
      <w:r>
        <w:t xml:space="preserve">两部门规范电力项目开工建设秩序</w:t>
      </w:r>
    </w:p>
    <w:p>
      <w:r>
        <w:t xml:space="preserve">日前，国家发改委和国家能源局联合发布《关于进一步规范电力项目开工建设秩序的通知》（下称《通知》），自印发之日起执行。</w:t>
      </w:r>
    </w:p>
    <w:p>
      <w:r>
        <w:t xml:space="preserve">《通知》旨在进一步清理、规范已核准电力项目（火电、电网项目）的报建审批工作，其从明确电力项目开工标志、协调指导煤电开工建设、加强开工建设专项检查等7个方面提出了具体要求。《通知》明确，未取齐开工必要的支持性文件前，严禁开工建设；已开工建设的，要立即停止建设。《通知》规定，对于存在违规行为的电力项目，可实行限批新建电力项目、开展自用及外送煤电项目优选工作时不予考虑等措施，国家能源局通报全国，银行及金融机构依法停止对其发放贷款。</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知识产权"/>
      <w:bookmarkEnd w:id="48"/>
      <w:r>
        <w:t xml:space="preserve">知识产权</w:t>
      </w:r>
    </w:p>
    <w:p>
      <w:pPr>
        <w:pStyle w:val="Heading3"/>
      </w:pPr>
      <w:bookmarkStart w:id="49" w:name="国务院发布十三五科创规划"/>
      <w:bookmarkEnd w:id="49"/>
      <w:r>
        <w:t xml:space="preserve">国务院发布“十三五”科创规划</w:t>
      </w:r>
    </w:p>
    <w:p>
      <w:r>
        <w:t xml:space="preserve">近日，国务院印发《“十三五”国家科技创新规划》（下称《规划》）。</w:t>
      </w:r>
    </w:p>
    <w:p>
      <w:r>
        <w:t xml:space="preserve">《规划》明确了未来五年国家科技创新的指导思想、总体要求、战略任务和改革举措。《规划》提出，五年内，国家综合创新能力世界排名进入前15位，与2015年相比科技进步贡献率从55.3%提高到60%，知识密集型服务业增加值占国内生产总值的比例从15.6%提高到20%，通过《专利合作条约》（PCT）途径提交的专利申请量翻一番，研发投入强度达到2.5%。《规划》强调深入实施“核高基”（核心电子器件、高端通用芯片、基础软件）、集成电路装备、宽带移动通信、数控机床、油气开发、核电、水污染治理、转基因、新药创制、传染病防治等国家科技重大专项。</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并购"/>
      <w:bookmarkEnd w:id="52"/>
      <w:r>
        <w:t xml:space="preserve">并购</w:t>
      </w:r>
    </w:p>
    <w:p>
      <w:pPr>
        <w:pStyle w:val="Heading3"/>
      </w:pPr>
      <w:bookmarkStart w:id="53" w:name="智慧松德并购富江机械"/>
      <w:bookmarkEnd w:id="53"/>
      <w:r>
        <w:t xml:space="preserve">智慧松德并购富江机械</w:t>
      </w:r>
    </w:p>
    <w:p>
      <w:r>
        <w:t xml:space="preserve">智慧松德8月11日披露收购预案，公司拟以发行股份的方式收购成都富江机械制造有限公司100%股权，交易对价6.5亿元，较标的公司净资产增值约891%。同时，公司拟向不超过5名特定对象非公开发行股份募集不超过6.5亿元配套资金，用于富江机械全资子公司海装机械新建特种铝合金成形基地、富江机械新建高端装备智能制造项目等在建项目投资及支付中介机构费用等。</w:t>
      </w:r>
    </w:p>
    <w:p>
      <w:r>
        <w:t xml:space="preserve">富江机械的主营业务为铝合金特种铸造、精密机械加工及机电一体化，产品主要应用于航空航天、兵器、舰船以及电子等军事领域，其掌握了成熟的铝合金特种铸造生产工艺和精密机械加工工艺，在大型铝合金铸件方面拥有国内领先的技术优势，发展和积累了稳定的军工客户群体，具备较强的市场竞争能力。2014年、2015年及2016年1-5月，富江机械分别实现营业收入5344.85万元、6126.39万元、2855.78万元，分别实现净利润1136.87万元、1793.50万元和935.40万元。</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罗顿发展拟16亿收购关联公司"/>
      <w:bookmarkEnd w:id="56"/>
      <w:r>
        <w:t xml:space="preserve">罗顿发展拟16亿收购关联公司</w:t>
      </w:r>
    </w:p>
    <w:p>
      <w:r>
        <w:t xml:space="preserve">罗顿发展8月8日晚间公告非公开发行股份方案，宣布作价16亿元以“现金+股权”方式收购深圳易库易供应链网络服务有限公司（下简称“易库易供应链”）全部股权，同时向宁波赤稻、宁波德稻、宁波德助及上市公司两期员工持股计划发行股份，募集配套资金不超过10.2亿元。本次非公开发行股价为8.7元/股。</w:t>
      </w:r>
    </w:p>
    <w:p>
      <w:r>
        <w:t xml:space="preserve">公告显示，标的公司易库易供应链成立于今年6月，其下游客户是电子产品制造商，主要分布在通讯、消费电子、 汽车电子和工业控制等领域，经营范围为供应链解决方案设计；供应链管理及电子元器件的销售与电子元器件的技术咨询、转让等，目前共拥有十家全资下属公司和两家控股下属公司。易库易供应链的代理销售电子元器件业务主要由香港新蕾、深圳新蕾、深圳新怡富三家子公司实施，主要代理销售Broadcom（博通）, Panasonic（松下）, 3M, SII, Silergy, Rohm, Rakon, SFI等国外知名电子元器件生产厂商的产品，其中采购Broadcom产品的金额占标的企业总采购金额的比例超过80%。</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开山股份拟收购印尼地热公司95股权"/>
      <w:bookmarkEnd w:id="59"/>
      <w:r>
        <w:t xml:space="preserve">开山股份拟收购印尼地热公司95%股权</w:t>
      </w:r>
    </w:p>
    <w:p>
      <w:r>
        <w:t xml:space="preserve">开山股份8月8日披露，公司控股的合资公司KS ORKA 近日与 Xped 及 PTBP 分别签署了协议，将以初始收购价为1 美元有条件收购Xped所持有的印尼PT Sokoria 地热公司（简称“SGI”）95%的股权。</w:t>
      </w:r>
    </w:p>
    <w:p>
      <w:r>
        <w:t xml:space="preserve">根据约定，此次协议签署生效后，由KS ORKA贷款给SGI不超过150万美元(其中57.5万美元指定用于支付特许经营权费用和土地使用税，剩余部分用于取得地热特许经营权相关事项发展费用)，SGI的股东Xped和PTBP以合计持有SGI 98%的股权对KS ORKA给予SGI的贷款提供不可撤销的担保。CSPA签署生效后的三个月内，如SGI取得 PT PLN(Persero)（印尼国家电力公司，简称“PLN”）同意Power Purshase Agreement（简称“PPA”）变更和第一个商业运行日延期的批准文件，及满足协议交割条件，KS ORKA 同时以1美元的价格收购Xped持有的SGI公司 45%股权和PTBP持有的SGI公司50%股权。</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轴研科技收购国机精工"/>
      <w:bookmarkEnd w:id="62"/>
      <w:r>
        <w:t xml:space="preserve">轴研科技收购国机精工</w:t>
      </w:r>
    </w:p>
    <w:p>
      <w:r>
        <w:t xml:space="preserve">轴研科技8月7日晚间公告，公司拟通过定增发行股份方式，向中国机械工业集团有限公司（下称“国机集团”）购买其持有的国机精工有限公司（下称“国机精工”）100%股权。本次交易标的资产的预估价值为9亿元、股票发行价格为8.97 元/股，发行股份购买资产的股份数量为1亿股。同时，本次交易中发行股份募集配套资金的金额不超过6.3亿元，发行价格为9.65元/股，发行数量不超过6517万股，其中国机资本认购发行数量的10%。</w:t>
      </w:r>
    </w:p>
    <w:p>
      <w:r>
        <w:t xml:space="preserve">国机精工在磨削加工技术及超硬材料磨具领域具有较高的技术水平，主要子公司三磨所一直致力于超硬材料制品和行业专用生产、检测设备仪器的研发、生产及销售。拥有国家、省（部）、市级科研成果1300余项，科技奖项170余项。</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内蒙华电拟收购北方龙源风电81.25股权"/>
      <w:bookmarkEnd w:id="65"/>
      <w:r>
        <w:t xml:space="preserve">内蒙华电拟收购北方龙源风电81.25%股权</w:t>
      </w:r>
    </w:p>
    <w:p>
      <w:r>
        <w:t xml:space="preserve">内蒙华电8月11日晚公告称，拟以2.81元/股的价格向不超过10名特定投资者非公开发行股份数量不超过70000万股，募集资金总额不超过196700万元，扣除发行费用后，计划用于收购内蒙古北方龙源风力发电有限责任公司81.25%股权。收购完成后，内蒙华电将持有北方龙源风电100%股权。预计本次收购北方龙源风电81.25%股权约需190000万元。</w:t>
      </w:r>
    </w:p>
    <w:p>
      <w:r>
        <w:t xml:space="preserve">公告显示，本次非公开发行购买资产行为构成关联交易。2015年度，北方龙源风电合计完成上网电量129148万千瓦时，利用小时数1810小时，实现营业收入56726.85万元，净利润9828.02万元。2016年1-3月完成营业收入16388.80万元，归属于母公司所有者净利润4350.21万元。截至2016年3月31日，北方龙源风电总资产49.29亿元，净资产17.52亿元。公司本次非公开发行收购北方龙源风电后，总资产、净资产都将有所提升，有利于降低财务风险，增强抵御风险的能力。</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苏交科收购testamerica"/>
      <w:bookmarkEnd w:id="68"/>
      <w:r>
        <w:t xml:space="preserve">苏交科收购TestAmerica</w:t>
      </w:r>
    </w:p>
    <w:p>
      <w:r>
        <w:t xml:space="preserve">8月9日晚间，苏交科公告，拟以1811.77万美元的现金收购TestAmerica公司100%股权，同时承担该公司1.09亿美元的债务。据苏交科管理层透露，对于此次并购，美国投资委员会还在审查中，暂时没有提出任何问题，进展顺利。按照正常审查时间进度计算，预计在8月份会完成审查。</w:t>
      </w:r>
    </w:p>
    <w:p>
      <w:r>
        <w:t xml:space="preserve">据悉，TestAmerica（简称TA）是美国最大的环境检测服务商，技术能力极强，几乎可以对所有品类进行专业检测和分析，包括空气、水、页岩气、沉淀物、爆炸物、放射性化学物质等。埃克森美孚公司、霍尼韦尔等大型企业都是它的客户。</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1">
        <w:r>
          <w:rPr>
            <w:rStyle w:val="Link"/>
          </w:rPr>
          <w:t xml:space="preserve">unsubscribe@charltonslaw.com</w:t>
        </w:r>
      </w:hyperlink>
    </w:p>
    <w:p>
      <w:r>
        <w:rPr>
          <w:b/>
        </w:rPr>
        <w:t xml:space="preserve">易周律师行 - 法讯 - 中国 - 第512期 - 2016年08月12日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fb847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4" Target="6a.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63" Target="http://company.stcn.com/2016/0807/12826950.shtml" TargetMode="External" /><Relationship Type="http://schemas.openxmlformats.org/officeDocument/2006/relationships/hyperlink" Id="rId60" Target="http://company.stcn.com/2016/0808/12828007.shtml" TargetMode="External" /><Relationship Type="http://schemas.openxmlformats.org/officeDocument/2006/relationships/hyperlink" Id="rId57" Target="http://company.stcn.com/2016/0809/12829160.shtml" TargetMode="External" /><Relationship Type="http://schemas.openxmlformats.org/officeDocument/2006/relationships/hyperlink" Id="rId54" Target="http://company.stcn.com/2016/0811/12832629.shtml" TargetMode="External" /><Relationship Type="http://schemas.openxmlformats.org/officeDocument/2006/relationships/hyperlink" Id="rId69" Target="http://company.stcn.com/2016/0812/12834407.shtml" TargetMode="External" /><Relationship Type="http://schemas.openxmlformats.org/officeDocument/2006/relationships/hyperlink" Id="rId66" Target="http://company.stcn.com/2016/0812/12834412.shtml" TargetMode="External" /><Relationship Type="http://schemas.openxmlformats.org/officeDocument/2006/relationships/hyperlink" Id="rId35" Target="http://gss.mof.gov.cn/zhengwuxinxi/zhengcefabu/201608/t20160805_2376667.html" TargetMode="External" /><Relationship Type="http://schemas.openxmlformats.org/officeDocument/2006/relationships/hyperlink" Id="rId21" Target="http://www.charltonslaw.com.cn/quan-guo-yin-hang-jian-tong-ye-chai-jie-shi-chang-ye-wu-cao-zuo-xi-ze-fa-bu/" TargetMode="External" /><Relationship Type="http://schemas.openxmlformats.org/officeDocument/2006/relationships/hyperlink" Id="rId31" Target="http://www.chinaclear.cn/zdjs/dzb/201608/aafd4b2bbf0b40dcb7182f09937b5437.shtml" TargetMode="External" /><Relationship Type="http://schemas.openxmlformats.org/officeDocument/2006/relationships/hyperlink" Id="rId25" Target="http://www.chinamoney.com.cn/fe/Info/31747102" TargetMode="External" /><Relationship Type="http://schemas.openxmlformats.org/officeDocument/2006/relationships/hyperlink" Id="rId28" Target="http://www.csrc.gov.cn/pub/zjhpublic/G00306201/201608/t20160805_301735.htm" TargetMode="External" /><Relationship Type="http://schemas.openxmlformats.org/officeDocument/2006/relationships/hyperlink" Id="rId50" Target="http://www.gov.cn/zhengce/content/2016-08/08/content_5098072.htm" TargetMode="External" /><Relationship Type="http://schemas.openxmlformats.org/officeDocument/2006/relationships/hyperlink" Id="rId42" Target="http://www.sdpc.gov.cn/gzdt/201608/t20160805_814075.html" TargetMode="External" /><Relationship Type="http://schemas.openxmlformats.org/officeDocument/2006/relationships/hyperlink" Id="rId46" Target="http://www.sdpc.gov.cn/gzdt/201608/t20160811_814459.html" TargetMode="External" /><Relationship Type="http://schemas.openxmlformats.org/officeDocument/2006/relationships/hyperlink" Id="rId38" Target="http://yc.nxgs.gov.cn/info/1187/8422.htm" TargetMode="External" /><Relationship Type="http://schemas.openxmlformats.org/officeDocument/2006/relationships/hyperlink" Id="rId7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4" Target="6a.pdf" TargetMode="External" /><Relationship Type="http://schemas.openxmlformats.org/officeDocument/2006/relationships/hyperlink" Id="rId47" Target="7.pdf" TargetMode="External" /><Relationship Type="http://schemas.openxmlformats.org/officeDocument/2006/relationships/hyperlink" Id="rId51" Target="8.pdf" TargetMode="External" /><Relationship Type="http://schemas.openxmlformats.org/officeDocument/2006/relationships/hyperlink" Id="rId55" Target="9.pdf" TargetMode="External" /><Relationship Type="http://schemas.openxmlformats.org/officeDocument/2006/relationships/hyperlink" Id="rId63" Target="http://company.stcn.com/2016/0807/12826950.shtml" TargetMode="External" /><Relationship Type="http://schemas.openxmlformats.org/officeDocument/2006/relationships/hyperlink" Id="rId60" Target="http://company.stcn.com/2016/0808/12828007.shtml" TargetMode="External" /><Relationship Type="http://schemas.openxmlformats.org/officeDocument/2006/relationships/hyperlink" Id="rId57" Target="http://company.stcn.com/2016/0809/12829160.shtml" TargetMode="External" /><Relationship Type="http://schemas.openxmlformats.org/officeDocument/2006/relationships/hyperlink" Id="rId54" Target="http://company.stcn.com/2016/0811/12832629.shtml" TargetMode="External" /><Relationship Type="http://schemas.openxmlformats.org/officeDocument/2006/relationships/hyperlink" Id="rId69" Target="http://company.stcn.com/2016/0812/12834407.shtml" TargetMode="External" /><Relationship Type="http://schemas.openxmlformats.org/officeDocument/2006/relationships/hyperlink" Id="rId66" Target="http://company.stcn.com/2016/0812/12834412.shtml" TargetMode="External" /><Relationship Type="http://schemas.openxmlformats.org/officeDocument/2006/relationships/hyperlink" Id="rId35" Target="http://gss.mof.gov.cn/zhengwuxinxi/zhengcefabu/201608/t20160805_2376667.html" TargetMode="External" /><Relationship Type="http://schemas.openxmlformats.org/officeDocument/2006/relationships/hyperlink" Id="rId21" Target="http://www.charltonslaw.com.cn/quan-guo-yin-hang-jian-tong-ye-chai-jie-shi-chang-ye-wu-cao-zuo-xi-ze-fa-bu/" TargetMode="External" /><Relationship Type="http://schemas.openxmlformats.org/officeDocument/2006/relationships/hyperlink" Id="rId31" Target="http://www.chinaclear.cn/zdjs/dzb/201608/aafd4b2bbf0b40dcb7182f09937b5437.shtml" TargetMode="External" /><Relationship Type="http://schemas.openxmlformats.org/officeDocument/2006/relationships/hyperlink" Id="rId25" Target="http://www.chinamoney.com.cn/fe/Info/31747102" TargetMode="External" /><Relationship Type="http://schemas.openxmlformats.org/officeDocument/2006/relationships/hyperlink" Id="rId28" Target="http://www.csrc.gov.cn/pub/zjhpublic/G00306201/201608/t20160805_301735.htm" TargetMode="External" /><Relationship Type="http://schemas.openxmlformats.org/officeDocument/2006/relationships/hyperlink" Id="rId50" Target="http://www.gov.cn/zhengce/content/2016-08/08/content_5098072.htm" TargetMode="External" /><Relationship Type="http://schemas.openxmlformats.org/officeDocument/2006/relationships/hyperlink" Id="rId42" Target="http://www.sdpc.gov.cn/gzdt/201608/t20160805_814075.html" TargetMode="External" /><Relationship Type="http://schemas.openxmlformats.org/officeDocument/2006/relationships/hyperlink" Id="rId46" Target="http://www.sdpc.gov.cn/gzdt/201608/t20160811_814459.html" TargetMode="External" /><Relationship Type="http://schemas.openxmlformats.org/officeDocument/2006/relationships/hyperlink" Id="rId38" Target="http://yc.nxgs.gov.cn/info/1187/8422.htm" TargetMode="External" /><Relationship Type="http://schemas.openxmlformats.org/officeDocument/2006/relationships/hyperlink" Id="rId7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第512期 - 2016年08月12日</dc:title>
  <dc:creator/>
</cp:coreProperties>
</file>