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第513期</w:t>
      </w:r>
      <w:r>
        <w:t xml:space="preserve"> </w:t>
      </w:r>
      <w:r>
        <w:t xml:space="preserve">-</w:t>
      </w:r>
      <w:r>
        <w:t xml:space="preserve"> </w:t>
      </w:r>
      <w:r>
        <w:t xml:space="preserve">2016年08月19日</w:t>
      </w:r>
    </w:p>
    <w:p>
      <w:hyperlink r:id="rId21">
        <w:r>
          <w:rPr>
            <w:rStyle w:val="Link"/>
          </w:rPr>
          <w:t xml:space="preserve">网络版</w:t>
        </w:r>
      </w:hyperlink>
    </w:p>
    <w:p>
      <w:pPr>
        <w:pStyle w:val="Heading1"/>
      </w:pPr>
      <w:bookmarkStart w:id="22" w:name="深港通联合公告出台"/>
      <w:bookmarkEnd w:id="22"/>
      <w:r>
        <w:t xml:space="preserve">深港通联合公告出台</w:t>
      </w:r>
    </w:p>
    <w:p>
      <w:pPr>
        <w:pStyle w:val="Heading2"/>
      </w:pPr>
      <w:bookmarkStart w:id="23" w:name="资本市场"/>
      <w:bookmarkEnd w:id="23"/>
      <w:r>
        <w:t xml:space="preserve">资本市场</w:t>
      </w:r>
    </w:p>
    <w:p>
      <w:pPr>
        <w:pStyle w:val="Heading3"/>
      </w:pPr>
      <w:bookmarkStart w:id="24" w:name="深港通联合公告出台-1"/>
      <w:bookmarkEnd w:id="24"/>
      <w:r>
        <w:t xml:space="preserve">深港通联合公告出台</w:t>
      </w:r>
    </w:p>
    <w:p>
      <w:r>
        <w:t xml:space="preserve">日前，中国证监会、香港证券及期货事务监察委员会共同签署联合公告，原则批准深交所、联交所、中国结算、香港结算建立深港股票市场交易互联互通机制。自公告发布之日起至相关方案正式实施，需4个月左右准备时间，正式实施时间另行公告。</w:t>
      </w:r>
    </w:p>
    <w:p>
      <w:r>
        <w:t xml:space="preserve">公告称，深港通开通后，内地与香港之间的股票市场交易互联互通机制将包括沪股通、沪港通下的港股通、深股通、深港通下的港股通四个部分。公告对投资标的和额度作出规定，明确深港通不再设总额度限制，深港通每日额度与沪港通现行标准一致，即深股通每日额度130亿元人民币，深港通下的港股通每日额度105亿元人民币。双方可根据运营情况对投资额度进行调整。沪港通总额度取消，于此公告之日起即时生效。</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保监会发文规范保险公司在股转系统挂牌事项"/>
      <w:bookmarkEnd w:id="27"/>
      <w:r>
        <w:t xml:space="preserve">保监会发文规范保险公司在股转系统挂牌事项</w:t>
      </w:r>
    </w:p>
    <w:p>
      <w:r>
        <w:t xml:space="preserve">近日，保监会印发《关于保险公司在全国中小企业股份转让系统挂牌有关事项的通知》（下称《通知》），自发布之日起施行。</w:t>
      </w:r>
    </w:p>
    <w:p>
      <w:r>
        <w:t xml:space="preserve">《通知》阐明了保监会支持保险公司在新三板挂牌的总体态度，确立了鼓励采取做市或竞价等更公开透明转让方式的政策导向。同时，《通知》规范了保险公司申请挂牌的有关工作程序，明确了保险公司挂牌以后的股权监管要求，允许自然人投资以做市或竞价方式挂牌的保险公司股份，并比照上市保险公司进行股权监管。《通知》规定，保险公司在股转系统挂牌和通过股转系统非公开发行股票均需取得保监会的监管意见，并提交“经营业绩与财务状况说明”等6项材料。</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央行发文推进支付市场清理整顿"/>
      <w:bookmarkEnd w:id="30"/>
      <w:r>
        <w:t xml:space="preserve">央行发文推进支付市场清理整顿</w:t>
      </w:r>
    </w:p>
    <w:p>
      <w:r>
        <w:t xml:space="preserve">日前，中国人民银行发布2016年第17号公告，对27家非银行支付机构《支付业务许可证》续展申请作出决定。</w:t>
      </w:r>
    </w:p>
    <w:p>
      <w:r>
        <w:t xml:space="preserve">公告规定：一、本次《支付业务许可证》续展有效期为五年，截止日期为2021年5月2日。二、本次续展对拟合并《支付业务许可证》的支付机构，相应调整其业务范围。被合并支付机构应于公告之日起6个月内完成支付业务承接工作。三、因部分支付机构存在业务严重违规、业务停滞萎缩或主动申请终止业务类型等情形，本次续展调减其业务范围。相关机构应于公告之日起6个月内按要求有序停止开展相关支付业务。根据公告，在获批牌照续展的27家支付机构中，12家的支付业务范围没有调整，另外15家续牌支付机构的支付业务类型或覆盖范围有所调增或调减。</w:t>
      </w:r>
    </w:p>
    <w:p>
      <w:hyperlink r:id="rId31">
        <w:r>
          <w:rPr>
            <w:rStyle w:val="Link"/>
          </w:rPr>
          <w:t xml:space="preserve">来源</w:t>
        </w:r>
      </w:hyperlink>
      <w:r>
        <w:t xml:space="preserve"> </w:t>
      </w:r>
      <w:r>
        <w:t xml:space="preserve">(</w:t>
      </w:r>
      <w:hyperlink r:id="rId32">
        <w:r>
          <w:rPr>
            <w:rStyle w:val="Link"/>
          </w:rPr>
          <w:t xml:space="preserve">副本</w:t>
        </w:r>
      </w:hyperlink>
      <w:r>
        <w:t xml:space="preserve">) (</w:t>
      </w:r>
      <w:hyperlink r:id="rId33">
        <w:r>
          <w:rPr>
            <w:rStyle w:val="Link"/>
          </w:rPr>
          <w:t xml:space="preserve">副本</w:t>
        </w:r>
      </w:hyperlink>
      <w:r>
        <w:t xml:space="preserve">)</w:t>
      </w:r>
    </w:p>
    <w:p>
      <w:pPr>
        <w:pStyle w:val="Heading2"/>
      </w:pPr>
      <w:bookmarkStart w:id="34" w:name="税务"/>
      <w:bookmarkEnd w:id="34"/>
      <w:r>
        <w:t xml:space="preserve">税务</w:t>
      </w:r>
    </w:p>
    <w:p>
      <w:pPr>
        <w:pStyle w:val="Heading3"/>
      </w:pPr>
      <w:bookmarkStart w:id="35" w:name="两部门明确部分营业税和增值税政策到期延续问题"/>
      <w:bookmarkEnd w:id="35"/>
      <w:r>
        <w:t xml:space="preserve">两部门明确部分营业税和增值税政策到期延续问题</w:t>
      </w:r>
    </w:p>
    <w:p>
      <w:r>
        <w:t xml:space="preserve">近日，财政部、国税总局发布《关于部分营业税和增值税政策到期延续问题的通知》（下称《通知》）。</w:t>
      </w:r>
    </w:p>
    <w:p>
      <w:r>
        <w:t xml:space="preserve">根据《通知》，《财政部 国家税务总局关于农村金融有关税收政策的通知》第三条规定的“对农村信用社、村镇银行、农村资金互助社、由银行业机构全资发起设立的贷款公司、法人机构所在地在县及县以下地区的农村合作银行和农村商业银行的金融保险业收入减按3%的税率征收营业税”政策的执行期限延长至2016年4月30日。《通知》指出，《财政部 国家税务总局关于中国农业银行三农金融事业部涉农贷款营业税优惠政策的通知》的执行期限延长至2016年4月30日。《通知》还明确，自2016年1月1日起，中国邮政集团公司及其所属邮政企业为金融机构代办金融保险业务取得的代理收入，在营改增试点期间免征增值税。</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3"/>
      </w:pPr>
      <w:bookmarkStart w:id="38" w:name="三部门明确动漫企业进口动漫开发生产用品税收政策"/>
      <w:bookmarkEnd w:id="38"/>
      <w:r>
        <w:t xml:space="preserve">三部门明确动漫企业进口动漫开发生产用品税收政策</w:t>
      </w:r>
    </w:p>
    <w:p>
      <w:r>
        <w:t xml:space="preserve">近日，财政部等三部门联合下发《关于动漫企业进口动漫开发生产用品税收政策的通知》（下称《通知》），并会同文化部同时发出《动漫企业进口动漫开发生产用品免征进口税收的暂行规定》（下称《规定》）。</w:t>
      </w:r>
    </w:p>
    <w:p>
      <w:r>
        <w:t xml:space="preserve">《通知》称，“十三五”期间继续实施动漫企业进口动漫开发生产用品税收政策。自2016年1月1日至2020年12月31日，经国务院有关部门认定的动漫企业自主开发、生产动漫直接产品，确需进口的商品可享受免征进口关税及进口环节增值税的政策。《规定》明确，动漫企业于每年9月底前向文化部提出申请，由四部门对其进口免税资格进行审核，每年11月底前公布下一年度享受进口税收政策的动漫企业名单。对于动漫企业存在以虚报情况获得进口免税资格的，经查实将撤销资格。</w:t>
      </w:r>
    </w:p>
    <w:p>
      <w:hyperlink r:id="rId39">
        <w:r>
          <w:rPr>
            <w:rStyle w:val="Link"/>
          </w:rPr>
          <w:t xml:space="preserve">来源</w:t>
        </w:r>
      </w:hyperlink>
      <w:r>
        <w:t xml:space="preserve"> </w:t>
      </w:r>
      <w:r>
        <w:t xml:space="preserve">(</w:t>
      </w:r>
      <w:hyperlink r:id="rId40">
        <w:r>
          <w:rPr>
            <w:rStyle w:val="Link"/>
          </w:rPr>
          <w:t xml:space="preserve">副本</w:t>
        </w:r>
      </w:hyperlink>
      <w:r>
        <w:t xml:space="preserve">) (</w:t>
      </w:r>
      <w:hyperlink r:id="rId41">
        <w:r>
          <w:rPr>
            <w:rStyle w:val="Link"/>
          </w:rPr>
          <w:t xml:space="preserve">副本</w:t>
        </w:r>
      </w:hyperlink>
      <w:r>
        <w:t xml:space="preserve">)</w:t>
      </w:r>
    </w:p>
    <w:p>
      <w:pPr>
        <w:pStyle w:val="Heading2"/>
      </w:pPr>
      <w:bookmarkStart w:id="42" w:name="行业"/>
      <w:bookmarkEnd w:id="42"/>
      <w:r>
        <w:t xml:space="preserve">行业</w:t>
      </w:r>
    </w:p>
    <w:p>
      <w:pPr>
        <w:pStyle w:val="Heading3"/>
      </w:pPr>
      <w:bookmarkStart w:id="43" w:name="食药监总局印发食品生产许可审查通则"/>
      <w:bookmarkEnd w:id="43"/>
      <w:r>
        <w:t xml:space="preserve">食药监总局印发食品生产许可审查通则</w:t>
      </w:r>
    </w:p>
    <w:p>
      <w:r>
        <w:t xml:space="preserve">近日，国家食品药品监督管理总局印发《食品生产许可审查通则》（下称《通则》），自10月1日起施行。</w:t>
      </w:r>
    </w:p>
    <w:p>
      <w:r>
        <w:t xml:space="preserve">《通则》包括总则、材料审查、现场核查、审查结果与检查整改和附则共5章56条，适用于食药监部门对申请人的食品、食品添加剂生产许可以及许可变更、延续等的审查工作。《通则》简化了延续、变更需要提交的材料和审查要求，企业延续和变更事项仅对变化情况进行现场核查；简化了对试制产品检验合格报告的要求，企业可以委托有资质的检验机构进行检验，也可以自行检验；简化了对外设仓库的核查要求，可通过提供影像资料等方式进行核查；简化了许可文书，对于申请材料和审查文书进行简化，方便许可实施。</w:t>
      </w:r>
    </w:p>
    <w:p>
      <w:hyperlink r:id="rId44">
        <w:r>
          <w:rPr>
            <w:rStyle w:val="Link"/>
          </w:rPr>
          <w:t xml:space="preserve">来源</w:t>
        </w:r>
      </w:hyperlink>
      <w:r>
        <w:t xml:space="preserve"> </w:t>
      </w:r>
      <w:r>
        <w:t xml:space="preserve">(</w:t>
      </w:r>
      <w:hyperlink r:id="rId45">
        <w:r>
          <w:rPr>
            <w:rStyle w:val="Link"/>
          </w:rPr>
          <w:t xml:space="preserve">副本</w:t>
        </w:r>
      </w:hyperlink>
      <w:r>
        <w:t xml:space="preserve">) (</w:t>
      </w:r>
      <w:hyperlink r:id="rId46">
        <w:r>
          <w:rPr>
            <w:rStyle w:val="Link"/>
          </w:rPr>
          <w:t xml:space="preserve">副本</w:t>
        </w:r>
      </w:hyperlink>
      <w:r>
        <w:t xml:space="preserve">) (</w:t>
      </w:r>
      <w:hyperlink r:id="rId47">
        <w:r>
          <w:rPr>
            <w:rStyle w:val="Link"/>
          </w:rPr>
          <w:t xml:space="preserve">副本</w:t>
        </w:r>
      </w:hyperlink>
      <w:r>
        <w:t xml:space="preserve">) (</w:t>
      </w:r>
      <w:hyperlink r:id="rId48">
        <w:r>
          <w:rPr>
            <w:rStyle w:val="Link"/>
          </w:rPr>
          <w:t xml:space="preserve">副本</w:t>
        </w:r>
      </w:hyperlink>
      <w:r>
        <w:t xml:space="preserve">) (</w:t>
      </w:r>
      <w:hyperlink r:id="rId49">
        <w:r>
          <w:rPr>
            <w:rStyle w:val="Link"/>
          </w:rPr>
          <w:t xml:space="preserve">副本</w:t>
        </w:r>
      </w:hyperlink>
      <w:r>
        <w:t xml:space="preserve">)</w:t>
      </w:r>
    </w:p>
    <w:p>
      <w:pPr>
        <w:pStyle w:val="Heading3"/>
      </w:pPr>
      <w:bookmarkStart w:id="50" w:name="食药监总局普遍开展食药监管公职律师工作"/>
      <w:bookmarkEnd w:id="50"/>
      <w:r>
        <w:t xml:space="preserve">食药监总局：普遍开展食药监管公职律师工作</w:t>
      </w:r>
    </w:p>
    <w:p>
      <w:r>
        <w:t xml:space="preserve">日前，食药监总局出台《关于全面加强食品药品监管系统法治建设的实施意见》（下称《意见》）。</w:t>
      </w:r>
    </w:p>
    <w:p>
      <w:r>
        <w:t xml:space="preserve">《意见》提出，到2020年，科学完备的食药安全法律制度体系基本建成，高素质的专业化监管队伍基本建立，法治精神、法治理念与法治思维得到深入普及，职能清晰、执法严明、公开公正、廉洁高效的食药监管部门基本建成。据此，《意见》确立“加快食药监管法律体系建设”等八项主要任务，涵盖“完善食药监管立法工作机制”等23项具体措施。《意见》指出，完善食药监管法律顾问制度，建立以监管部门法制机构人员为主体、吸收法学专家和律师参加的法律顾问队伍。同时，细化相关行政执法程序，规范行政处罚、行政强制等行为，落实执法全过程记录制度。</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并购"/>
      <w:bookmarkEnd w:id="53"/>
      <w:r>
        <w:t xml:space="preserve">并购</w:t>
      </w:r>
    </w:p>
    <w:p>
      <w:pPr>
        <w:pStyle w:val="Heading3"/>
      </w:pPr>
      <w:bookmarkStart w:id="54" w:name="上海电气拟1.74亿欧元收购tec4公司100股权"/>
      <w:bookmarkEnd w:id="54"/>
      <w:r>
        <w:t xml:space="preserve">上海电气拟1.74亿欧元收购TEC4公司100%股权</w:t>
      </w:r>
    </w:p>
    <w:p>
      <w:r>
        <w:t xml:space="preserve">上海电气8月14日晚间公告称，公司拟通过下属全资子公司电气香港出资1.73536亿欧元收购TEC4公司的100%股权。</w:t>
      </w:r>
    </w:p>
    <w:p>
      <w:r>
        <w:t xml:space="preserve">公告显示，TEC4是一家根据德国法律注册成立的有限公司，截至2016年3月31日，注册资本为179.78万欧元。TEC4通过下属全资子公司BAB持有BAW100%股权。BAW是一家全球领先的飞机制造设备和解决方案供应商，在航空工业领域的自动化装配设备和服务方面拥有悠久的历史和丰富的经验，主要产品包括自动钻铆紧固设备、自动化装配生产线和工装夹具，以及自动传输设备、复合材料部件加工设备等，业务覆盖飞机构件及相关部件的装配链，主要客户包括空客、波音等大型飞机制造商。2015财政年度（2014年9月30日-2015年9月30日）实现销售收入1.436亿欧元。公司通过收购TEC4，实现间接全资控股BAW公司，从而进入了航空工业领域自动化制造装备和系统市场。</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南极电商收购时间互联"/>
      <w:bookmarkEnd w:id="57"/>
      <w:r>
        <w:t xml:space="preserve">南极电商收购时间互联</w:t>
      </w:r>
    </w:p>
    <w:p>
      <w:r>
        <w:t xml:space="preserve">南极电商8月15日宣布拟通过发行股份及支付现金收购新三板挂牌公司时间互联100%股份。标的公司的初步交易对价为9.56亿元，预估增值率高达3172.5%。</w:t>
      </w:r>
    </w:p>
    <w:p>
      <w:r>
        <w:t xml:space="preserve">据公告，南极电商拟向刘睿、葛楠等收购时间互联100%股份的同时，还将向上市公司自己的实际控制人张玉祥以及南极电商第二期员工持股计划、陈佳莹等定增募集配套资金不超过4亿元。</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天业股份拟收购澳洲矿业资产"/>
      <w:bookmarkEnd w:id="60"/>
      <w:r>
        <w:t xml:space="preserve">天业股份拟收购澳洲矿业资产</w:t>
      </w:r>
    </w:p>
    <w:p>
      <w:r>
        <w:t xml:space="preserve">天业股份8月16日晚公告称，全资孙公司明加尔金源公司通过竞价收购的方式，收购CQT Gold公司100%股权、CQT Holdings公司100%股权以及相关勘探矿权，交易对价为5200万澳元。</w:t>
      </w:r>
    </w:p>
    <w:p>
      <w:r>
        <w:t xml:space="preserve">根据公告，购买方为明加尔金源公司，公司全资子公司山东天业黄金矿业有限公司持有其100%股权。截至2015年12月31日，明加尔金源公司总资产14112.73万澳元，净资产12209.46万澳元，2015年营业收入6389.22万澳元，净利润1513.26万澳元。</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开元仪器拟13.82亿收购两教育资产"/>
      <w:bookmarkEnd w:id="63"/>
      <w:r>
        <w:t xml:space="preserve">开元仪器拟13.82亿收购两教育资产</w:t>
      </w:r>
    </w:p>
    <w:p>
      <w:r>
        <w:t xml:space="preserve">开元仪器8月17日公告称，拟分别作价12亿元、1.82亿元收购恒企教育100%股权、中大英才70%股权，同时向4名特定对象定增募集不超过4.7亿元配套资金，用于支付重组现金对价。</w:t>
      </w:r>
    </w:p>
    <w:p>
      <w:r>
        <w:t xml:space="preserve">开元仪器本次重组拟采用发行股份及支付现金相结合的方式，其定增发行价为每股14.62元。其中，对恒企教育，开元仪器拟以现金支付交易对价的40%，即4.8亿元，另以发行股份的方式支付交易对价的60%，即7.2亿元，预计发行股份数为4924.76万股。交易对象为江勇等7名自然人及广发信德等9家机构。对中大英才，开元仪器拟以现金方式支付交易对价的50%，即9100万元；另9100万元对价则以发行股份方式支付，预计发行622.44万股，交易对方为中大瑞泽。</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2"/>
      </w:pPr>
      <w:bookmarkStart w:id="66" w:name="其他"/>
      <w:bookmarkEnd w:id="66"/>
      <w:r>
        <w:t xml:space="preserve">其他</w:t>
      </w:r>
    </w:p>
    <w:p>
      <w:pPr>
        <w:pStyle w:val="Heading3"/>
      </w:pPr>
      <w:bookmarkStart w:id="67" w:name="上海自贸区事中事后监管方案出台"/>
      <w:bookmarkEnd w:id="67"/>
      <w:r>
        <w:t xml:space="preserve">上海自贸区事中事后监管方案出台</w:t>
      </w:r>
    </w:p>
    <w:p>
      <w:r>
        <w:t xml:space="preserve">近日，上海市政府办公厅印发《进一步深化中国（上海）自由贸易试验区和浦东新区事中事后监管体系建设总体方案》（下称《方案》）。</w:t>
      </w:r>
    </w:p>
    <w:p>
      <w:r>
        <w:t xml:space="preserve">《方案》明确，要构建市场主体自律、业界自治、社会监督、政府监管互为支撑的监管格局，全面提升开放条件下的公共治理能力。《方案》提出8个方面的主要任务，包括创新市场评价机制、建立新型业界自治平台、发挥第三方专业机构监督作用、率先创新“证照分离”改革116项许可证事项的监管方式等。根据《方案》，对守信主体在表彰评优、资质认定、财政扶持等方面予以支持和激励，对失信主体在取得政府供应土地、招投标、政府采购、获得荣誉等方面依法依规予以限制或者禁止。</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0">
        <w:r>
          <w:rPr>
            <w:rStyle w:val="Link"/>
          </w:rPr>
          <w:t xml:space="preserve">unsubscribe@charltonslaw.com</w:t>
        </w:r>
      </w:hyperlink>
    </w:p>
    <w:p>
      <w:r>
        <w:rPr>
          <w:b/>
        </w:rPr>
        <w:t xml:space="preserve">易周律师行 - 法讯 - 中国 - 第513期 - 2016年08月19日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dc36a2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2" Target="10.pdf" TargetMode="External" /><Relationship Type="http://schemas.openxmlformats.org/officeDocument/2006/relationships/hyperlink" Id="rId65" Target="11.pdf" TargetMode="External" /><Relationship Type="http://schemas.openxmlformats.org/officeDocument/2006/relationships/hyperlink" Id="rId69" Target="12.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3" Target="3a.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1" Target="5a.pdf" TargetMode="External" /><Relationship Type="http://schemas.openxmlformats.org/officeDocument/2006/relationships/hyperlink" Id="rId45" Target="6.pdf" TargetMode="External" /><Relationship Type="http://schemas.openxmlformats.org/officeDocument/2006/relationships/hyperlink" Id="rId46" Target="6a.pdf" TargetMode="External" /><Relationship Type="http://schemas.openxmlformats.org/officeDocument/2006/relationships/hyperlink" Id="rId47" Target="6b.pdf" TargetMode="External" /><Relationship Type="http://schemas.openxmlformats.org/officeDocument/2006/relationships/hyperlink" Id="rId48" Target="6c.pdf" TargetMode="External" /><Relationship Type="http://schemas.openxmlformats.org/officeDocument/2006/relationships/hyperlink" Id="rId49" Target="6d.pdf" TargetMode="External" /><Relationship Type="http://schemas.openxmlformats.org/officeDocument/2006/relationships/hyperlink" Id="rId52" Target="7.pdf" TargetMode="External" /><Relationship Type="http://schemas.openxmlformats.org/officeDocument/2006/relationships/hyperlink" Id="rId56" Target="8.pdf" TargetMode="External" /><Relationship Type="http://schemas.openxmlformats.org/officeDocument/2006/relationships/hyperlink" Id="rId59" Target="9.pdf" TargetMode="External" /><Relationship Type="http://schemas.openxmlformats.org/officeDocument/2006/relationships/hyperlink" Id="rId58" Target="http://company.stcn.com/2016/0815/12836387.shtml" TargetMode="External" /><Relationship Type="http://schemas.openxmlformats.org/officeDocument/2006/relationships/hyperlink" Id="rId55" Target="http://company.stcn.com/2016/0815/12836403.shtml" TargetMode="External" /><Relationship Type="http://schemas.openxmlformats.org/officeDocument/2006/relationships/hyperlink" Id="rId64" Target="http://company.stcn.com/2016/0817/12840777.shtml" TargetMode="External" /><Relationship Type="http://schemas.openxmlformats.org/officeDocument/2006/relationships/hyperlink" Id="rId61" Target="http://company.stcn.com/2016/0817/12840787.shtml" TargetMode="External" /><Relationship Type="http://schemas.openxmlformats.org/officeDocument/2006/relationships/hyperlink" Id="rId39" Target="http://gss.mof.gov.cn/zhengwuxinxi/zhengcefabu/201608/t20160816_2390479.html" TargetMode="External" /><Relationship Type="http://schemas.openxmlformats.org/officeDocument/2006/relationships/hyperlink" Id="rId36" Target="http://szs.mof.gov.cn/zhengwuxinxi/zhengcefabu/201608/t20160809_2381702.html" TargetMode="External" /><Relationship Type="http://schemas.openxmlformats.org/officeDocument/2006/relationships/hyperlink" Id="rId21" Target="http://www.charltonslaw.com.cn/shen-gang-tong-lian-he-gong-gao-chu-tai/" TargetMode="External" /><Relationship Type="http://schemas.openxmlformats.org/officeDocument/2006/relationships/hyperlink" Id="rId28" Target="http://www.circ.gov.cn/web/site0/tab5168/info4040168.htm" TargetMode="External" /><Relationship Type="http://schemas.openxmlformats.org/officeDocument/2006/relationships/hyperlink" Id="rId25" Target="http://www.csrc.gov.cn/pub/newsite/zjhxwfb/xwdd/201608/t20160816_302227.html" TargetMode="External" /><Relationship Type="http://schemas.openxmlformats.org/officeDocument/2006/relationships/hyperlink" Id="rId31" Target="http://www.pbc.gov.cn/goutongjiaoliu/113456/113469/3119036/index.html" TargetMode="External" /><Relationship Type="http://schemas.openxmlformats.org/officeDocument/2006/relationships/hyperlink" Id="rId51" Target="http://www.sda.gov.cn/WS01/CL0852/163000.html" TargetMode="External" /><Relationship Type="http://schemas.openxmlformats.org/officeDocument/2006/relationships/hyperlink" Id="rId44" Target="http://www.sda.gov.cn/WS01/CL1633/163080.html" TargetMode="External" /><Relationship Type="http://schemas.openxmlformats.org/officeDocument/2006/relationships/hyperlink" Id="rId68" Target="http://www.shanghai.gov.cn/nw2/nw2314/nw2319/nw12344/u26aw48434.html" TargetMode="External" /><Relationship Type="http://schemas.openxmlformats.org/officeDocument/2006/relationships/hyperlink" Id="rId70"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2" Target="10.pdf" TargetMode="External" /><Relationship Type="http://schemas.openxmlformats.org/officeDocument/2006/relationships/hyperlink" Id="rId65" Target="11.pdf" TargetMode="External" /><Relationship Type="http://schemas.openxmlformats.org/officeDocument/2006/relationships/hyperlink" Id="rId69" Target="12.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3" Target="3a.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1" Target="5a.pdf" TargetMode="External" /><Relationship Type="http://schemas.openxmlformats.org/officeDocument/2006/relationships/hyperlink" Id="rId45" Target="6.pdf" TargetMode="External" /><Relationship Type="http://schemas.openxmlformats.org/officeDocument/2006/relationships/hyperlink" Id="rId46" Target="6a.pdf" TargetMode="External" /><Relationship Type="http://schemas.openxmlformats.org/officeDocument/2006/relationships/hyperlink" Id="rId47" Target="6b.pdf" TargetMode="External" /><Relationship Type="http://schemas.openxmlformats.org/officeDocument/2006/relationships/hyperlink" Id="rId48" Target="6c.pdf" TargetMode="External" /><Relationship Type="http://schemas.openxmlformats.org/officeDocument/2006/relationships/hyperlink" Id="rId49" Target="6d.pdf" TargetMode="External" /><Relationship Type="http://schemas.openxmlformats.org/officeDocument/2006/relationships/hyperlink" Id="rId52" Target="7.pdf" TargetMode="External" /><Relationship Type="http://schemas.openxmlformats.org/officeDocument/2006/relationships/hyperlink" Id="rId56" Target="8.pdf" TargetMode="External" /><Relationship Type="http://schemas.openxmlformats.org/officeDocument/2006/relationships/hyperlink" Id="rId59" Target="9.pdf" TargetMode="External" /><Relationship Type="http://schemas.openxmlformats.org/officeDocument/2006/relationships/hyperlink" Id="rId58" Target="http://company.stcn.com/2016/0815/12836387.shtml" TargetMode="External" /><Relationship Type="http://schemas.openxmlformats.org/officeDocument/2006/relationships/hyperlink" Id="rId55" Target="http://company.stcn.com/2016/0815/12836403.shtml" TargetMode="External" /><Relationship Type="http://schemas.openxmlformats.org/officeDocument/2006/relationships/hyperlink" Id="rId64" Target="http://company.stcn.com/2016/0817/12840777.shtml" TargetMode="External" /><Relationship Type="http://schemas.openxmlformats.org/officeDocument/2006/relationships/hyperlink" Id="rId61" Target="http://company.stcn.com/2016/0817/12840787.shtml" TargetMode="External" /><Relationship Type="http://schemas.openxmlformats.org/officeDocument/2006/relationships/hyperlink" Id="rId39" Target="http://gss.mof.gov.cn/zhengwuxinxi/zhengcefabu/201608/t20160816_2390479.html" TargetMode="External" /><Relationship Type="http://schemas.openxmlformats.org/officeDocument/2006/relationships/hyperlink" Id="rId36" Target="http://szs.mof.gov.cn/zhengwuxinxi/zhengcefabu/201608/t20160809_2381702.html" TargetMode="External" /><Relationship Type="http://schemas.openxmlformats.org/officeDocument/2006/relationships/hyperlink" Id="rId21" Target="http://www.charltonslaw.com.cn/shen-gang-tong-lian-he-gong-gao-chu-tai/" TargetMode="External" /><Relationship Type="http://schemas.openxmlformats.org/officeDocument/2006/relationships/hyperlink" Id="rId28" Target="http://www.circ.gov.cn/web/site0/tab5168/info4040168.htm" TargetMode="External" /><Relationship Type="http://schemas.openxmlformats.org/officeDocument/2006/relationships/hyperlink" Id="rId25" Target="http://www.csrc.gov.cn/pub/newsite/zjhxwfb/xwdd/201608/t20160816_302227.html" TargetMode="External" /><Relationship Type="http://schemas.openxmlformats.org/officeDocument/2006/relationships/hyperlink" Id="rId31" Target="http://www.pbc.gov.cn/goutongjiaoliu/113456/113469/3119036/index.html" TargetMode="External" /><Relationship Type="http://schemas.openxmlformats.org/officeDocument/2006/relationships/hyperlink" Id="rId51" Target="http://www.sda.gov.cn/WS01/CL0852/163000.html" TargetMode="External" /><Relationship Type="http://schemas.openxmlformats.org/officeDocument/2006/relationships/hyperlink" Id="rId44" Target="http://www.sda.gov.cn/WS01/CL1633/163080.html" TargetMode="External" /><Relationship Type="http://schemas.openxmlformats.org/officeDocument/2006/relationships/hyperlink" Id="rId68" Target="http://www.shanghai.gov.cn/nw2/nw2314/nw2319/nw12344/u26aw48434.html" TargetMode="External" /><Relationship Type="http://schemas.openxmlformats.org/officeDocument/2006/relationships/hyperlink" Id="rId70"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第513期 - 2016年08月19日</dc:title>
  <dc:creator/>
</cp:coreProperties>
</file>