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第516期</w:t>
      </w:r>
      <w:r>
        <w:t xml:space="preserve"> </w:t>
      </w:r>
      <w:r>
        <w:t xml:space="preserve">-</w:t>
      </w:r>
      <w:r>
        <w:t xml:space="preserve"> </w:t>
      </w:r>
      <w:r>
        <w:t xml:space="preserve">2016年09月20日</w:t>
      </w:r>
    </w:p>
    <w:p>
      <w:hyperlink r:id="rId21">
        <w:r>
          <w:rPr>
            <w:rStyle w:val="Link"/>
          </w:rPr>
          <w:t xml:space="preserve">网络版</w:t>
        </w:r>
      </w:hyperlink>
    </w:p>
    <w:p>
      <w:pPr>
        <w:pStyle w:val="Heading1"/>
      </w:pPr>
      <w:bookmarkStart w:id="22" w:name="全国股转公司启动私募机构做市业务试点"/>
      <w:bookmarkEnd w:id="22"/>
      <w:r>
        <w:t xml:space="preserve">全国股转公司启动私募机构做市业务试点</w:t>
      </w:r>
    </w:p>
    <w:p>
      <w:pPr>
        <w:pStyle w:val="Heading2"/>
      </w:pPr>
      <w:bookmarkStart w:id="23" w:name="资本市场"/>
      <w:bookmarkEnd w:id="23"/>
      <w:r>
        <w:t xml:space="preserve">资本市场</w:t>
      </w:r>
    </w:p>
    <w:p>
      <w:pPr>
        <w:pStyle w:val="Heading3"/>
      </w:pPr>
      <w:bookmarkStart w:id="24" w:name="全国股转公司启动私募机构做市业务试点-1"/>
      <w:bookmarkEnd w:id="24"/>
      <w:r>
        <w:t xml:space="preserve">全国股转公司启动私募机构做市业务试点</w:t>
      </w:r>
    </w:p>
    <w:p>
      <w:r>
        <w:t xml:space="preserve">近日，全国股转公司制发《私募机构全国股转系统做市业务试点专业评审方案》（下称《方案》）。</w:t>
      </w:r>
    </w:p>
    <w:p>
      <w:r>
        <w:t xml:space="preserve">《方案》对评审含义、目的、程序、原则等作出规定，明确符合“实缴注册资本不低于人民币一亿元，财务状况稳健”、“设有专门的做市业务部门，配备做市业务人员不少于5名，其中风控人员不少于1名”等八项条件的公司制私募机构，可申请在全国股转系统开展做市业务试点。《方案》还对评审机构、流程和评审及验收内容作出安排，指明评审流程包括私募机构提交申请、专业评审、业务技术准备及现场验收等四环节，符合条件且有意向参与试点的私募机构应在《方案》公布后30个工作日内按《私募机构全国股转系统做市业务试点专业评审申请材料内容与格式》的要求报送相关材料。</w:t>
      </w:r>
    </w:p>
    <w:p>
      <w:hyperlink r:id="rId25">
        <w:r>
          <w:rPr>
            <w:rStyle w:val="Link"/>
          </w:rPr>
          <w:t xml:space="preserve">来源</w:t>
        </w:r>
      </w:hyperlink>
      <w:r>
        <w:t xml:space="preserve"> </w:t>
      </w:r>
      <w:r>
        <w:t xml:space="preserve">(</w:t>
      </w:r>
      <w:hyperlink r:id="rId26">
        <w:r>
          <w:rPr>
            <w:rStyle w:val="Link"/>
          </w:rPr>
          <w:t xml:space="preserve">副本</w:t>
        </w:r>
      </w:hyperlink>
      <w:r>
        <w:t xml:space="preserve">) (</w:t>
      </w:r>
      <w:hyperlink r:id="rId27">
        <w:r>
          <w:rPr>
            <w:rStyle w:val="Link"/>
          </w:rPr>
          <w:t xml:space="preserve">副本</w:t>
        </w:r>
      </w:hyperlink>
      <w:r>
        <w:t xml:space="preserve">)</w:t>
      </w:r>
    </w:p>
    <w:p>
      <w:pPr>
        <w:pStyle w:val="Heading3"/>
      </w:pPr>
      <w:bookmarkStart w:id="28" w:name="股转公司发文规范挂牌条件适用问题"/>
      <w:bookmarkEnd w:id="28"/>
      <w:r>
        <w:t xml:space="preserve">股转公司发文规范挂牌条件适用问题</w:t>
      </w:r>
    </w:p>
    <w:p>
      <w:r>
        <w:t xml:space="preserve">近日，全国股转公司制定了《全国中小企业股份转让系统挂牌业务问答——关于挂牌条件适用若干问题的解答（二）》（下称《问答》），自发布之日起执行。</w:t>
      </w:r>
    </w:p>
    <w:p>
      <w:r>
        <w:t xml:space="preserve">《问答》规定，存在“公司最近一年及一期的主营业务中存在国家淘汰落后及过剩产能类产业”等四种情形之一的公司不符合挂牌准入要求。根据《问答》，控股股东、实际控制人及其关联方占用公司资金、资产或其他资源的具体情形包括“向公司拆借资金”、“由公司代垫费用，代偿债务”、“由公司承担担保责任而形成债权”等。此种行为应在申请挂牌相关文件签署前予以归还或规范。《问答》还明确，申请挂牌公司不应存在被列入失信被执行人名单、被执行联合惩戒的情形。</w:t>
      </w:r>
    </w:p>
    <w:p>
      <w:hyperlink r:id="rId29">
        <w:r>
          <w:rPr>
            <w:rStyle w:val="Link"/>
          </w:rPr>
          <w:t xml:space="preserve">来源</w:t>
        </w:r>
      </w:hyperlink>
      <w:r>
        <w:t xml:space="preserve"> </w:t>
      </w:r>
      <w:r>
        <w:t xml:space="preserve">(</w:t>
      </w:r>
      <w:hyperlink r:id="rId30">
        <w:r>
          <w:rPr>
            <w:rStyle w:val="Link"/>
          </w:rPr>
          <w:t xml:space="preserve">副本</w:t>
        </w:r>
      </w:hyperlink>
      <w:r>
        <w:t xml:space="preserve">) (</w:t>
      </w:r>
      <w:hyperlink r:id="rId31">
        <w:r>
          <w:rPr>
            <w:rStyle w:val="Link"/>
          </w:rPr>
          <w:t xml:space="preserve">副本</w:t>
        </w:r>
      </w:hyperlink>
      <w:r>
        <w:t xml:space="preserve">)</w:t>
      </w:r>
    </w:p>
    <w:p>
      <w:pPr>
        <w:pStyle w:val="Heading3"/>
      </w:pPr>
      <w:bookmarkStart w:id="32" w:name="银监会发文规范银行业金融机构债委会有关工作"/>
      <w:bookmarkEnd w:id="32"/>
      <w:r>
        <w:t xml:space="preserve">银监会发文规范银行业金融机构债委会有关工作</w:t>
      </w:r>
    </w:p>
    <w:p>
      <w:r>
        <w:t xml:space="preserve">近日，银监会发布了《关于做好银行业金融机构债权人委员会有关工作的通知》（下称《通知》）。</w:t>
      </w:r>
    </w:p>
    <w:p>
      <w:r>
        <w:t xml:space="preserve">《通知》共16条，明确了债委会的性质、职责和工作原则，规定了债委会的成立和成员组成、议事规则、资金支持及指导与协调等内容，提出了实施企业金融债务重组的相关要求。根据《通知》，债委会可以由债权银行业金融机构自行发起成立。债务企业的所有债权银行业金融机构和银监会批准设立的其他金融机构原则上应当参加债委会，非银监会批准设立的也可以加入债委会。《通知》规定，企业提出的新资金需求有充分理由的，债委会可以通过组建银团贷款、建立联合授信机制或封闭式融资等方式予以支持。</w:t>
      </w:r>
    </w:p>
    <w:p>
      <w:hyperlink r:id="rId33">
        <w:r>
          <w:rPr>
            <w:rStyle w:val="Link"/>
          </w:rPr>
          <w:t xml:space="preserve">来源</w:t>
        </w:r>
      </w:hyperlink>
      <w:r>
        <w:t xml:space="preserve"> </w:t>
      </w:r>
      <w:r>
        <w:t xml:space="preserve">(</w:t>
      </w:r>
      <w:hyperlink r:id="rId34">
        <w:r>
          <w:rPr>
            <w:rStyle w:val="Link"/>
          </w:rPr>
          <w:t xml:space="preserve">副本</w:t>
        </w:r>
      </w:hyperlink>
      <w:r>
        <w:t xml:space="preserve">)</w:t>
      </w:r>
    </w:p>
    <w:p>
      <w:pPr>
        <w:pStyle w:val="Heading3"/>
      </w:pPr>
      <w:bookmarkStart w:id="35" w:name="证监会修改上市公司重大资产重组管理办法及配套意见"/>
      <w:bookmarkEnd w:id="35"/>
      <w:r>
        <w:t xml:space="preserve">证监会修改上市公司重大资产重组管理办法及配套意见</w:t>
      </w:r>
    </w:p>
    <w:p>
      <w:r>
        <w:t xml:space="preserve">近日，中国证监会修订发布《上市公司重大资产重组管理办法》（下称《办法》），同时公布《〈上市公司重大资产重组管理办法〉第十四条、第四十四条的适用意见－－证券期货法律适用意见第12号》，均自公布之日起施行。</w:t>
      </w:r>
    </w:p>
    <w:p>
      <w:r>
        <w:t xml:space="preserve">《办法》细化了关于上市公司“控制权变更”的认定标准，完善了关于购买资产规模的判断指标，明确累计首次原则的期限为60个月。根据《办法》，创业板上市公司重组以及购买的资产属于金融、创业投资等特定行业的情况不适用60个月期限，仍按原口径累计。《办法》还完善了配套监管措施，抑制投机“炒壳”；取消了重组上市的配套融资，提高对重组方的实力要求，延长相关股东的股份锁定期。</w:t>
      </w:r>
    </w:p>
    <w:p>
      <w:hyperlink r:id="rId36">
        <w:r>
          <w:rPr>
            <w:rStyle w:val="Link"/>
          </w:rPr>
          <w:t xml:space="preserve">来源</w:t>
        </w:r>
      </w:hyperlink>
      <w:r>
        <w:t xml:space="preserve"> </w:t>
      </w:r>
      <w:r>
        <w:t xml:space="preserve">(</w:t>
      </w:r>
      <w:hyperlink r:id="rId37">
        <w:r>
          <w:rPr>
            <w:rStyle w:val="Link"/>
          </w:rPr>
          <w:t xml:space="preserve">副本</w:t>
        </w:r>
      </w:hyperlink>
      <w:r>
        <w:t xml:space="preserve">)</w:t>
      </w:r>
    </w:p>
    <w:p>
      <w:pPr>
        <w:pStyle w:val="Heading3"/>
      </w:pPr>
      <w:bookmarkStart w:id="38" w:name="证监会修订并购重组规则-缩短上市公司停牌时间"/>
      <w:bookmarkEnd w:id="38"/>
      <w:r>
        <w:t xml:space="preserve">证监会修订并购重组规则 缩短上市公司停牌时间</w:t>
      </w:r>
    </w:p>
    <w:p>
      <w:r>
        <w:t xml:space="preserve">近日，中国证监会对《关于加强与上市公司重大资产重组相关股票异常交易监管的暂行规定》和《关于规范上市公司重大资产重组若干问题的规定》（以下统称《规定》）进行了修订，均自公布之日起施行。</w:t>
      </w:r>
    </w:p>
    <w:p>
      <w:r>
        <w:t xml:space="preserve">《规定》主要修订了以下内容：1.缩短终止重大资产重组进程的“冷淡期”，由3个月缩短至1个月。2.明确交易标的相关报批事项披露标准。根据《规定》，交易标的涉及立项、环保、行业准入等有关报批事项，无法在首次董事会决议公告前取得相应许可证书或有关批复文件的，上市公司应在重大资产重组预案和报告书中披露有关报批事项的取得进展情况，并作出重大风险提示。</w:t>
      </w:r>
    </w:p>
    <w:p>
      <w:hyperlink r:id="rId39">
        <w:r>
          <w:rPr>
            <w:rStyle w:val="Link"/>
          </w:rPr>
          <w:t xml:space="preserve">来源</w:t>
        </w:r>
      </w:hyperlink>
      <w:r>
        <w:t xml:space="preserve"> </w:t>
      </w:r>
      <w:r>
        <w:t xml:space="preserve">(</w:t>
      </w:r>
      <w:hyperlink r:id="rId40">
        <w:r>
          <w:rPr>
            <w:rStyle w:val="Link"/>
          </w:rPr>
          <w:t xml:space="preserve">副本</w:t>
        </w:r>
      </w:hyperlink>
      <w:r>
        <w:t xml:space="preserve">)</w:t>
      </w:r>
    </w:p>
    <w:p>
      <w:pPr>
        <w:pStyle w:val="Heading2"/>
      </w:pPr>
      <w:bookmarkStart w:id="41" w:name="税务"/>
      <w:bookmarkEnd w:id="41"/>
      <w:r>
        <w:t xml:space="preserve">税务</w:t>
      </w:r>
    </w:p>
    <w:p>
      <w:pPr>
        <w:pStyle w:val="Heading3"/>
      </w:pPr>
      <w:bookmarkStart w:id="42" w:name="月15日起我国对201项信息技术产品实施关税减让"/>
      <w:bookmarkEnd w:id="42"/>
      <w:r>
        <w:t xml:space="preserve">9月15日起我国对201项信息技术产品实施关税减让</w:t>
      </w:r>
    </w:p>
    <w:p>
      <w:r>
        <w:t xml:space="preserve">日前，国务院关税税则委员会发布《关于调整部分进口信息技术产品最惠国税率的通知》（下称《通知》）。</w:t>
      </w:r>
    </w:p>
    <w:p>
      <w:r>
        <w:t xml:space="preserve">《通知》规定，自2016年9月15日起，对进口《中华人民共和国加入世界贸易组织关税减让表修正案》附表所列信息技术产品最惠国税率实施首次降税。相关产品对应我国税则中480多个税号，包括新一代多元件集成电路、触摸屏、半导体及其生产设备、视听产品、医疗器械及仪器仪表、生产信息技术产品所需的专用零附件及原材料等。其中大多数产品的进口关税将在未来3年或5年降为零，少量产品的关税将在未来7年降为零。</w:t>
      </w:r>
    </w:p>
    <w:p>
      <w:hyperlink r:id="rId43">
        <w:r>
          <w:rPr>
            <w:rStyle w:val="Link"/>
          </w:rPr>
          <w:t xml:space="preserve">来源</w:t>
        </w:r>
      </w:hyperlink>
      <w:r>
        <w:t xml:space="preserve"> </w:t>
      </w:r>
      <w:r>
        <w:t xml:space="preserve">(</w:t>
      </w:r>
      <w:hyperlink r:id="rId44">
        <w:r>
          <w:rPr>
            <w:rStyle w:val="Link"/>
          </w:rPr>
          <w:t xml:space="preserve">副本</w:t>
        </w:r>
      </w:hyperlink>
      <w:r>
        <w:t xml:space="preserve">) (</w:t>
      </w:r>
      <w:hyperlink r:id="rId45">
        <w:r>
          <w:rPr>
            <w:rStyle w:val="Link"/>
          </w:rPr>
          <w:t xml:space="preserve">副本</w:t>
        </w:r>
      </w:hyperlink>
      <w:r>
        <w:t xml:space="preserve">)</w:t>
      </w:r>
    </w:p>
    <w:p>
      <w:pPr>
        <w:pStyle w:val="Heading2"/>
      </w:pPr>
      <w:bookmarkStart w:id="46" w:name="wto"/>
      <w:bookmarkEnd w:id="46"/>
      <w:r>
        <w:t xml:space="preserve">WTO</w:t>
      </w:r>
    </w:p>
    <w:p>
      <w:pPr>
        <w:pStyle w:val="Heading3"/>
      </w:pPr>
      <w:bookmarkStart w:id="47" w:name="商务部发文规范外经贸发展专项资金使用"/>
      <w:bookmarkEnd w:id="47"/>
      <w:r>
        <w:t xml:space="preserve">商务部发文规范外经贸发展专项资金使用</w:t>
      </w:r>
    </w:p>
    <w:p>
      <w:r>
        <w:t xml:space="preserve">近日，商务部办公厅下发《关于用好外经贸发展专项资金支持外贸中小企业开拓市场的通知》（下称《通知》）。</w:t>
      </w:r>
    </w:p>
    <w:p>
      <w:r>
        <w:t xml:space="preserve">《通知》提出支持外贸中小企业获取出口信用保险相关服务，引导银行、保险机构、股权投资机构等社会资金对外贸中小企业提供专业融资服务，支持企业开展境外专利申请、商标注册、资质认证、参加境外展会业务。《通知》鼓励政策性银行等金融机构增加信贷规模，为中小企业提供出口退税质押贷款、出口信用保险保单融资、应收账款保理等融资服务，以及开立保函、出具信用证等结算服务。《通知》要求落实好资金政策，制定资金支持比例和企业申报流程，定期评估资金使用绩效。</w:t>
      </w:r>
    </w:p>
    <w:p>
      <w:hyperlink r:id="rId48">
        <w:r>
          <w:rPr>
            <w:rStyle w:val="Link"/>
          </w:rPr>
          <w:t xml:space="preserve">来源</w:t>
        </w:r>
      </w:hyperlink>
      <w:r>
        <w:t xml:space="preserve"> </w:t>
      </w:r>
      <w:r>
        <w:t xml:space="preserve">(</w:t>
      </w:r>
      <w:hyperlink r:id="rId49">
        <w:r>
          <w:rPr>
            <w:rStyle w:val="Link"/>
          </w:rPr>
          <w:t xml:space="preserve">副本</w:t>
        </w:r>
      </w:hyperlink>
      <w:r>
        <w:t xml:space="preserve">)</w:t>
      </w:r>
    </w:p>
    <w:p>
      <w:pPr>
        <w:pStyle w:val="Heading3"/>
      </w:pPr>
      <w:bookmarkStart w:id="50" w:name="三部门发布鼓励进口服务目录"/>
      <w:bookmarkEnd w:id="50"/>
      <w:r>
        <w:t xml:space="preserve">三部门发布鼓励进口服务目录</w:t>
      </w:r>
    </w:p>
    <w:p>
      <w:r>
        <w:t xml:space="preserve">日前，商务部等三部门联合发布《鼓励进口服务目录》（下称《目录》）。</w:t>
      </w:r>
    </w:p>
    <w:p>
      <w:r>
        <w:t xml:space="preserve">《目录》遵循“国内急需，且国内服务提供商不能在数量和质量上满足这种需求”等四项原则制定。其涵盖研发设计服务、节能环保服务、环境服务三大类，具体包含知识产权服务、虚拟现实技术服务、再制造技术服务、污染地块土壤治理与修复服务等内容。针对每一服务，《目录》均进行了描述。以“知识产权服务”为例，是指对专利权、商标权、著作权等知识产权的代理、法律、检索、运营、咨询、培训等服务。</w:t>
      </w:r>
    </w:p>
    <w:p>
      <w:hyperlink r:id="rId51">
        <w:r>
          <w:rPr>
            <w:rStyle w:val="Link"/>
          </w:rPr>
          <w:t xml:space="preserve">来源</w:t>
        </w:r>
      </w:hyperlink>
      <w:r>
        <w:t xml:space="preserve"> </w:t>
      </w:r>
      <w:r>
        <w:t xml:space="preserve">(</w:t>
      </w:r>
      <w:hyperlink r:id="rId52">
        <w:r>
          <w:rPr>
            <w:rStyle w:val="Link"/>
          </w:rPr>
          <w:t xml:space="preserve">副本</w:t>
        </w:r>
      </w:hyperlink>
      <w:r>
        <w:t xml:space="preserve">)</w:t>
      </w:r>
    </w:p>
    <w:p>
      <w:pPr>
        <w:pStyle w:val="Heading2"/>
      </w:pPr>
      <w:bookmarkStart w:id="53" w:name="行业"/>
      <w:bookmarkEnd w:id="53"/>
      <w:r>
        <w:t xml:space="preserve">行业</w:t>
      </w:r>
    </w:p>
    <w:p>
      <w:pPr>
        <w:pStyle w:val="Heading3"/>
      </w:pPr>
      <w:bookmarkStart w:id="54" w:name="食药监总局印发食品生产经营风险分级管理办法"/>
      <w:bookmarkEnd w:id="54"/>
      <w:r>
        <w:t xml:space="preserve">食药监总局印发食品生产经营风险分级管理办法</w:t>
      </w:r>
    </w:p>
    <w:p>
      <w:r>
        <w:t xml:space="preserve">近日，国家食品药品监督管理总局制定了《食品生产经营风险分级管理办法（试行）》（下称《办法》），自12月1日起施行。</w:t>
      </w:r>
    </w:p>
    <w:p>
      <w:r>
        <w:t xml:space="preserve">《办法》共5章40条，适用于食品生产、食品销售和餐饮服务等食品生产经营、食品添加剂生产以及食品生产经营者风险分级管理。根据《办法》，食药监部门应当结合食品生产经营企业风险特点，从生产经营食品类别、经营规模、消费对象等静态风险因素和生产经营条件保持、生产经营过程控制、管理制度建立及运行等动态风险因素，确定食品生产经营者风险等级。风险等级从低到高分为A、B、C、D四个等级。《办法》规定，对较高风险生产经营者的监管优先于较低风险生产经营者的监管。</w:t>
      </w:r>
    </w:p>
    <w:p>
      <w:hyperlink r:id="rId55">
        <w:r>
          <w:rPr>
            <w:rStyle w:val="Link"/>
          </w:rPr>
          <w:t xml:space="preserve">来源</w:t>
        </w:r>
      </w:hyperlink>
      <w:r>
        <w:t xml:space="preserve"> </w:t>
      </w:r>
      <w:r>
        <w:t xml:space="preserve">(</w:t>
      </w:r>
      <w:hyperlink r:id="rId56">
        <w:r>
          <w:rPr>
            <w:rStyle w:val="Link"/>
          </w:rPr>
          <w:t xml:space="preserve">副本</w:t>
        </w:r>
      </w:hyperlink>
      <w:r>
        <w:t xml:space="preserve">) (</w:t>
      </w:r>
      <w:hyperlink r:id="rId57">
        <w:r>
          <w:rPr>
            <w:rStyle w:val="Link"/>
          </w:rPr>
          <w:t xml:space="preserve">副本</w:t>
        </w:r>
      </w:hyperlink>
      <w:r>
        <w:t xml:space="preserve">) (</w:t>
      </w:r>
      <w:hyperlink r:id="rId58">
        <w:r>
          <w:rPr>
            <w:rStyle w:val="Link"/>
          </w:rPr>
          <w:t xml:space="preserve">副本</w:t>
        </w:r>
      </w:hyperlink>
      <w:r>
        <w:t xml:space="preserve">) (</w:t>
      </w:r>
      <w:hyperlink r:id="rId59">
        <w:r>
          <w:rPr>
            <w:rStyle w:val="Link"/>
          </w:rPr>
          <w:t xml:space="preserve">副本</w:t>
        </w:r>
      </w:hyperlink>
      <w:r>
        <w:t xml:space="preserve">)</w:t>
      </w:r>
    </w:p>
    <w:p>
      <w:pPr>
        <w:pStyle w:val="Heading2"/>
      </w:pPr>
      <w:bookmarkStart w:id="60" w:name="并购"/>
      <w:bookmarkEnd w:id="60"/>
      <w:r>
        <w:t xml:space="preserve">并购</w:t>
      </w:r>
    </w:p>
    <w:p>
      <w:pPr>
        <w:pStyle w:val="Heading3"/>
      </w:pPr>
      <w:bookmarkStart w:id="61" w:name="沙隆达185亿并购农药巨头adama"/>
      <w:bookmarkEnd w:id="61"/>
      <w:r>
        <w:t xml:space="preserve">沙隆达185亿并购农药巨头ADAMA</w:t>
      </w:r>
    </w:p>
    <w:p>
      <w:r>
        <w:t xml:space="preserve">沙隆达9月14日披露了重大资产重组预案，公司拟向间接控股股东中国农化发行股份购买其持有的ADAMA的100%股权，标的资产估值28亿美元，合185.67亿元人民币，同时公司拟向信运汉石发行股份募集不超过25亿元的配套资金，用于ADAMA主营业务相关的项目建设、支付定向回购B股价款等。预案称，通过本次交易，沙隆达将一跃成为中国最大、世界领先的农化公司，成为我国农药行业的旗舰型企业。</w:t>
      </w:r>
    </w:p>
    <w:p>
      <w:r>
        <w:t xml:space="preserve">标的公司为行业巨头之一。据披露，ADAMA是依据销售额排名的全球第七大农药生产和经销商，拥有种类齐全的高品质高效的除草剂、杀虫剂和杀菌剂产品。预案介绍，ADAMA合计拥有约1600种产品，包括全球范围内合计300多种有效成分和1400种成品制剂，同时通过主要的60余家子公司将农药产品销售至全世界100多个国家，具有直接覆盖全球各终端市场的销售网络。</w:t>
      </w:r>
    </w:p>
    <w:p>
      <w:hyperlink r:id="rId62">
        <w:r>
          <w:rPr>
            <w:rStyle w:val="Link"/>
          </w:rPr>
          <w:t xml:space="preserve">来源</w:t>
        </w:r>
      </w:hyperlink>
      <w:r>
        <w:t xml:space="preserve"> </w:t>
      </w:r>
      <w:r>
        <w:t xml:space="preserve">(</w:t>
      </w:r>
      <w:hyperlink r:id="rId63">
        <w:r>
          <w:rPr>
            <w:rStyle w:val="Link"/>
          </w:rPr>
          <w:t xml:space="preserve">副本</w:t>
        </w:r>
      </w:hyperlink>
      <w:r>
        <w:t xml:space="preserve">)</w:t>
      </w:r>
    </w:p>
    <w:p>
      <w:pPr>
        <w:pStyle w:val="Heading3"/>
      </w:pPr>
      <w:bookmarkStart w:id="64" w:name="完美世界近14亿元收购217家影院"/>
      <w:bookmarkEnd w:id="64"/>
      <w:r>
        <w:t xml:space="preserve">完美世界近14亿元收购217家影院</w:t>
      </w:r>
    </w:p>
    <w:p>
      <w:r>
        <w:t xml:space="preserve">9月13日晚间，完美世界披露《重大资产购买报告书》称，设立全资子公司完美世界（重庆）影院管理有限公司（以下简称：完美影院）作为交易投资主体，收购今典院线、今典影城、今典文化100%股权。</w:t>
      </w:r>
    </w:p>
    <w:p>
      <w:r>
        <w:t xml:space="preserve">根据完美世界公告披露，公司拟采用支付现金的方式，以6.06亿元收购今典影投持有的今典影城100%股权，以2.31亿元收购今典传媒持有的今典院线100%股权，以3682.24万元收购今典传媒持有的今典文化100%股权，以4.79亿元受让目标债权，合计交易金额为13.53亿元。。截至2016年6月30日，今典院线旗下共217家可统计票房的自营和加盟影院，其中包括86家标的影院。</w:t>
      </w:r>
    </w:p>
    <w:p>
      <w:hyperlink r:id="rId65">
        <w:r>
          <w:rPr>
            <w:rStyle w:val="Link"/>
          </w:rPr>
          <w:t xml:space="preserve">来源</w:t>
        </w:r>
      </w:hyperlink>
      <w:r>
        <w:t xml:space="preserve"> </w:t>
      </w:r>
      <w:r>
        <w:t xml:space="preserve">(</w:t>
      </w:r>
      <w:hyperlink r:id="rId66">
        <w:r>
          <w:rPr>
            <w:rStyle w:val="Link"/>
          </w:rPr>
          <w:t xml:space="preserve">副本</w:t>
        </w:r>
      </w:hyperlink>
      <w:r>
        <w:t xml:space="preserve">)</w:t>
      </w:r>
    </w:p>
    <w:p>
      <w:pPr>
        <w:pStyle w:val="Heading3"/>
      </w:pPr>
      <w:bookmarkStart w:id="67" w:name="英飞拓拟定增募资6.85亿元收购普菲特100股权"/>
      <w:bookmarkEnd w:id="67"/>
      <w:r>
        <w:t xml:space="preserve">英飞拓拟定增募资6.85亿元收购普菲特100%股权</w:t>
      </w:r>
    </w:p>
    <w:p>
      <w:r>
        <w:t xml:space="preserve">英飞拓9月13日晚公告称，拟以7.56元/股的价格，非公开发行的A股不超过9060.85万股，募集资金总额不超过6.85亿元，在扣除发行费用后将用于收购普菲特100%股权及补充流动资金。英飞拓本次收购普菲特100%股权事项不以本次非公开发行股票成功实施为前提，若本次非公开发行股票未能成功实施，公司仍将以自有资金或/及自筹资金支付本次收购的交易对价。</w:t>
      </w:r>
    </w:p>
    <w:p>
      <w:r>
        <w:t xml:space="preserve">英飞拓本次收购标的普菲特为数字营销领域的优秀企业，在搜索引擎营销领域有深厚沉淀，同时拥有在移动互联网领域的技术与资源。本次收购完成后，公司可借助普菲特现有的创意、广告投放与数据挖掘团队及其积累的“互联网传播技术”与“数据挖掘能力”加速智能家居业务的孵化壮大。</w:t>
      </w:r>
    </w:p>
    <w:p>
      <w:hyperlink r:id="rId68">
        <w:r>
          <w:rPr>
            <w:rStyle w:val="Link"/>
          </w:rPr>
          <w:t xml:space="preserve">来源</w:t>
        </w:r>
      </w:hyperlink>
      <w:r>
        <w:t xml:space="preserve"> </w:t>
      </w:r>
      <w:r>
        <w:t xml:space="preserve">(</w:t>
      </w:r>
      <w:hyperlink r:id="rId69">
        <w:r>
          <w:rPr>
            <w:rStyle w:val="Link"/>
          </w:rPr>
          <w:t xml:space="preserve">副本</w:t>
        </w:r>
      </w:hyperlink>
      <w:r>
        <w:t xml:space="preserve">)</w:t>
      </w:r>
    </w:p>
    <w:p>
      <w:pPr>
        <w:pStyle w:val="Heading3"/>
      </w:pPr>
      <w:bookmarkStart w:id="70" w:name="山东地矿拟收购莱州金盛"/>
      <w:bookmarkEnd w:id="70"/>
      <w:r>
        <w:t xml:space="preserve">山东地矿拟收购莱州金盛</w:t>
      </w:r>
    </w:p>
    <w:p>
      <w:r>
        <w:t xml:space="preserve">9月12日，山东地矿公布重大资产重组草案，公司拟以9.52元/股发行2.15亿股，作价20.48亿元收购莱州鸿昇矿业投资有限公司（以下简称“莱州鸿昇”）持有的莱州金盛矿业投资有限公司（以下简称“莱州金盛”）100%股权。</w:t>
      </w:r>
    </w:p>
    <w:p>
      <w:r>
        <w:t xml:space="preserve">资料显示，莱州金盛的核心资产为朱郭李家金矿采矿权。该金矿采矿许可证范围内保有资源储量（122b+332+333）矿石量3.34万吨，金金属量121.86吨，另有银金属量154.65吨，硫元素量47.99万吨。</w:t>
      </w:r>
    </w:p>
    <w:p>
      <w:hyperlink r:id="rId71">
        <w:r>
          <w:rPr>
            <w:rStyle w:val="Link"/>
          </w:rPr>
          <w:t xml:space="preserve">来源</w:t>
        </w:r>
      </w:hyperlink>
      <w:r>
        <w:t xml:space="preserve"> </w:t>
      </w:r>
      <w:r>
        <w:t xml:space="preserve">(</w:t>
      </w:r>
      <w:hyperlink r:id="rId72">
        <w:r>
          <w:rPr>
            <w:rStyle w:val="Link"/>
          </w:rPr>
          <w:t xml:space="preserve">副本</w:t>
        </w:r>
      </w:hyperlink>
      <w:r>
        <w:t xml:space="preserve">)</w:t>
      </w:r>
    </w:p>
    <w:p>
      <w:pPr>
        <w:pStyle w:val="Heading3"/>
      </w:pPr>
      <w:bookmarkStart w:id="73" w:name="中技控股拟收购宏投网络51股权"/>
      <w:bookmarkEnd w:id="73"/>
      <w:r>
        <w:t xml:space="preserve">中技控股拟收购宏投网络51%股权</w:t>
      </w:r>
    </w:p>
    <w:p>
      <w:r>
        <w:t xml:space="preserve">9月12日晚，中技控股公告，拟以16.32亿元现金购买品田投资和宏达矿业(600532)各自持有的宏投网络26%和25%的股权，合计为宏投网络51%股权。</w:t>
      </w:r>
    </w:p>
    <w:p>
      <w:r>
        <w:t xml:space="preserve">据介绍，宏投网络所持资产的核心为Jagex游戏公司，拥有该公司100%股权。该公司是英国最大的在线游的开发商和发行商之一，旗下核心游戏RuneScape系列已拥有累计2.49亿注册用户。公告显示，2015年，宏投网络营业收入达到5.56亿元，净利润2.20亿元。其丰厚收入来自Jagex公司的吸金能力。</w:t>
      </w:r>
    </w:p>
    <w:p>
      <w:hyperlink r:id="rId74">
        <w:r>
          <w:rPr>
            <w:rStyle w:val="Link"/>
          </w:rPr>
          <w:t xml:space="preserve">来源</w:t>
        </w:r>
      </w:hyperlink>
      <w:r>
        <w:t xml:space="preserve"> </w:t>
      </w:r>
      <w:r>
        <w:t xml:space="preserve">(</w:t>
      </w:r>
      <w:hyperlink r:id="rId75">
        <w:r>
          <w:rPr>
            <w:rStyle w:val="Link"/>
          </w:rPr>
          <w:t xml:space="preserve">副本</w:t>
        </w:r>
      </w:hyperlink>
      <w:r>
        <w:t xml:space="preserve">)</w:t>
      </w:r>
    </w:p>
    <w:p>
      <w:pPr>
        <w:pStyle w:val="Heading3"/>
      </w:pPr>
      <w:bookmarkStart w:id="76" w:name="光韵达拟斥2.21亿收购新三板公司金东唐"/>
      <w:bookmarkEnd w:id="76"/>
      <w:r>
        <w:t xml:space="preserve">光韵达拟斥2.21亿收购新三板公司金东唐</w:t>
      </w:r>
    </w:p>
    <w:p>
      <w:r>
        <w:t xml:space="preserve">光韵达9月13日披露，公司拟以2.21亿元的对价收购金东唐100%股权，同时向特定投资者孙晖发行股份募集不超过1.323亿元的配套资金，收购资产和募集配套资金的股份发行价格均为21.28元/股。</w:t>
      </w:r>
    </w:p>
    <w:p>
      <w:r>
        <w:t xml:space="preserve">金东唐是一家新三板挂牌公司，主营业务为测试治具及自动检测设备、其他自动化设备的研发、生产、销售及服务，已经进入某全球知名消费电子企业A的供应链，并与富士康旗下企业、苏州维信电子、达富电脑（常熟）等大型消费电子生产企业建立了长期稳定的合作关系。</w:t>
      </w:r>
    </w:p>
    <w:p>
      <w:hyperlink r:id="rId77">
        <w:r>
          <w:rPr>
            <w:rStyle w:val="Link"/>
          </w:rPr>
          <w:t xml:space="preserve">来源</w:t>
        </w:r>
      </w:hyperlink>
      <w:r>
        <w:t xml:space="preserve"> </w:t>
      </w:r>
      <w:r>
        <w:t xml:space="preserve">(</w:t>
      </w:r>
      <w:hyperlink r:id="rId78">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79">
        <w:r>
          <w:rPr>
            <w:rStyle w:val="Link"/>
          </w:rPr>
          <w:t xml:space="preserve">unsubscribe@charltonslaw.com</w:t>
        </w:r>
      </w:hyperlink>
    </w:p>
    <w:p>
      <w:r>
        <w:rPr>
          <w:b/>
        </w:rPr>
        <w:t xml:space="preserve">易周律师行 - 法讯 - 中国 - 第516期 - 2016年09月20日</w:t>
      </w:r>
    </w:p>
    <w:sectPr w:rsidR="005F6FFF" w:rsidRPr="00761A09" w:rsidSect="00F41B61">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dfa81f9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styleId="DocumentMap">
    <w:name w:val="Document Map"/>
    <w:basedOn w:val="Normal"/>
    <w:link w:val="DocumentMapChar"/>
    <w:semiHidden/>
    <w:unhideWhenUsed/>
    <w:rsid w:val="00F41B61"/>
    <w:pPr>
      <w:spacing w:after="0"/>
    </w:pPr>
    <w:rPr>
      <w:rFonts w:ascii="Times New Roman" w:hAnsi="Times New Roman" w:cs="Times New Roman"/>
    </w:rPr>
  </w:style>
  <w:style w:type="character" w:customStyle="1" w:styleId="DocumentMapChar">
    <w:name w:val="Document Map Char"/>
    <w:basedOn w:val="DefaultParagraphFont"/>
    <w:link w:val="DocumentMap"/>
    <w:semiHidden/>
    <w:rsid w:val="00F41B61"/>
    <w:rPr>
      <w:rFonts w:ascii="Times New Roman" w:hAnsi="Times New Roman" w:cs="Times New Roman"/>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63" Target="10.pdf" TargetMode="External" /><Relationship Type="http://schemas.openxmlformats.org/officeDocument/2006/relationships/hyperlink" Id="rId66" Target="11.pdf" TargetMode="External" /><Relationship Type="http://schemas.openxmlformats.org/officeDocument/2006/relationships/hyperlink" Id="rId69" Target="12.pdf" TargetMode="External" /><Relationship Type="http://schemas.openxmlformats.org/officeDocument/2006/relationships/hyperlink" Id="rId72" Target="13.pdf" TargetMode="External" /><Relationship Type="http://schemas.openxmlformats.org/officeDocument/2006/relationships/hyperlink" Id="rId75" Target="14.pdf" TargetMode="External" /><Relationship Type="http://schemas.openxmlformats.org/officeDocument/2006/relationships/hyperlink" Id="rId78" Target="15.pdf" TargetMode="External" /><Relationship Type="http://schemas.openxmlformats.org/officeDocument/2006/relationships/hyperlink" Id="rId27" Target="1a.pdf" TargetMode="External" /><Relationship Type="http://schemas.openxmlformats.org/officeDocument/2006/relationships/hyperlink" Id="rId30" Target="2.pdf" TargetMode="External" /><Relationship Type="http://schemas.openxmlformats.org/officeDocument/2006/relationships/hyperlink" Id="rId31" Target="2a.pdf" TargetMode="External" /><Relationship Type="http://schemas.openxmlformats.org/officeDocument/2006/relationships/hyperlink" Id="rId34" Target="3.pdf" TargetMode="External" /><Relationship Type="http://schemas.openxmlformats.org/officeDocument/2006/relationships/hyperlink" Id="rId37" Target="4.pdf" TargetMode="External" /><Relationship Type="http://schemas.openxmlformats.org/officeDocument/2006/relationships/hyperlink" Id="rId40" Target="5.pdf" TargetMode="External" /><Relationship Type="http://schemas.openxmlformats.org/officeDocument/2006/relationships/hyperlink" Id="rId44" Target="6.pdf" TargetMode="External" /><Relationship Type="http://schemas.openxmlformats.org/officeDocument/2006/relationships/hyperlink" Id="rId45" Target="6a.pdf" TargetMode="External" /><Relationship Type="http://schemas.openxmlformats.org/officeDocument/2006/relationships/hyperlink" Id="rId49" Target="7.pdf" TargetMode="External" /><Relationship Type="http://schemas.openxmlformats.org/officeDocument/2006/relationships/hyperlink" Id="rId52" Target="8.pdf" TargetMode="External" /><Relationship Type="http://schemas.openxmlformats.org/officeDocument/2006/relationships/hyperlink" Id="rId56" Target="9.pdf" TargetMode="External" /><Relationship Type="http://schemas.openxmlformats.org/officeDocument/2006/relationships/hyperlink" Id="rId57" Target="9a.pdf" TargetMode="External" /><Relationship Type="http://schemas.openxmlformats.org/officeDocument/2006/relationships/hyperlink" Id="rId58" Target="9b.pdf" TargetMode="External" /><Relationship Type="http://schemas.openxmlformats.org/officeDocument/2006/relationships/hyperlink" Id="rId59" Target="9c.pdf" TargetMode="External" /><Relationship Type="http://schemas.openxmlformats.org/officeDocument/2006/relationships/hyperlink" Id="rId77" Target="http://company.stcn.com/2016/0913/12879498.shtml" TargetMode="External" /><Relationship Type="http://schemas.openxmlformats.org/officeDocument/2006/relationships/hyperlink" Id="rId74" Target="http://company.stcn.com/2016/0913/12879506.shtml" TargetMode="External" /><Relationship Type="http://schemas.openxmlformats.org/officeDocument/2006/relationships/hyperlink" Id="rId71" Target="http://company.stcn.com/2016/0913/12879511.shtml" TargetMode="External" /><Relationship Type="http://schemas.openxmlformats.org/officeDocument/2006/relationships/hyperlink" Id="rId68" Target="http://company.stcn.com/2016/0913/12881140.shtml" TargetMode="External" /><Relationship Type="http://schemas.openxmlformats.org/officeDocument/2006/relationships/hyperlink" Id="rId65" Target="http://company.stcn.com/2016/0914/12881429.shtml" TargetMode="External" /><Relationship Type="http://schemas.openxmlformats.org/officeDocument/2006/relationships/hyperlink" Id="rId62" Target="http://company.stcn.com/2016/0914/12881436.shtml" TargetMode="External" /><Relationship Type="http://schemas.openxmlformats.org/officeDocument/2006/relationships/hyperlink" Id="rId43" Target="http://gss.mof.gov.cn/zhengwuxinxi/zhengcefabu/201609/t20160914_2417642.html" TargetMode="External" /><Relationship Type="http://schemas.openxmlformats.org/officeDocument/2006/relationships/hyperlink" Id="rId48" Target="http://smfws.mofcom.gov.cn/article/cwgongzuo/huiyjl/201609/20160901389052.shtml" TargetMode="External" /><Relationship Type="http://schemas.openxmlformats.org/officeDocument/2006/relationships/hyperlink" Id="rId33" Target="http://www.cbrc.gov.cn/chinese/home/docDOC_ReadView/5722AF33CF91470687F650889FD437F1.html" TargetMode="External" /><Relationship Type="http://schemas.openxmlformats.org/officeDocument/2006/relationships/hyperlink" Id="rId21" Target="http://www.charltonslaw.com.cn/quan-guo-gu-zhuan-gong-si-qi-dong-si-mu-ji-gou-zuo-shi-ye-wu-shi-dian/" TargetMode="External" /><Relationship Type="http://schemas.openxmlformats.org/officeDocument/2006/relationships/hyperlink" Id="rId36" Target="http://www.csrc.gov.cn/pub/zjhpublic/G00306201/201609/t20160909_303228.htm" TargetMode="External" /><Relationship Type="http://schemas.openxmlformats.org/officeDocument/2006/relationships/hyperlink" Id="rId39" Target="http://www.csrc.gov.cn/pub/zjhpublic/G00306201/201609/t20160909_303231.htm" TargetMode="External" /><Relationship Type="http://schemas.openxmlformats.org/officeDocument/2006/relationships/hyperlink" Id="rId51" Target="http://www.mofcom.gov.cn/article/b/xxfb/201609/20160901392349.shtml" TargetMode="External" /><Relationship Type="http://schemas.openxmlformats.org/officeDocument/2006/relationships/hyperlink" Id="rId29" Target="http://www.neeq.com.cn/notice/3145.html" TargetMode="External" /><Relationship Type="http://schemas.openxmlformats.org/officeDocument/2006/relationships/hyperlink" Id="rId25" Target="http://www.neeq.com.cn/notice/3157.html" TargetMode="External" /><Relationship Type="http://schemas.openxmlformats.org/officeDocument/2006/relationships/hyperlink" Id="rId55" Target="http://www.sda.gov.cn/WS01/CL1605/164244.html" TargetMode="External" /><Relationship Type="http://schemas.openxmlformats.org/officeDocument/2006/relationships/hyperlink" Id="rId79"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63" Target="10.pdf" TargetMode="External" /><Relationship Type="http://schemas.openxmlformats.org/officeDocument/2006/relationships/hyperlink" Id="rId66" Target="11.pdf" TargetMode="External" /><Relationship Type="http://schemas.openxmlformats.org/officeDocument/2006/relationships/hyperlink" Id="rId69" Target="12.pdf" TargetMode="External" /><Relationship Type="http://schemas.openxmlformats.org/officeDocument/2006/relationships/hyperlink" Id="rId72" Target="13.pdf" TargetMode="External" /><Relationship Type="http://schemas.openxmlformats.org/officeDocument/2006/relationships/hyperlink" Id="rId75" Target="14.pdf" TargetMode="External" /><Relationship Type="http://schemas.openxmlformats.org/officeDocument/2006/relationships/hyperlink" Id="rId78" Target="15.pdf" TargetMode="External" /><Relationship Type="http://schemas.openxmlformats.org/officeDocument/2006/relationships/hyperlink" Id="rId27" Target="1a.pdf" TargetMode="External" /><Relationship Type="http://schemas.openxmlformats.org/officeDocument/2006/relationships/hyperlink" Id="rId30" Target="2.pdf" TargetMode="External" /><Relationship Type="http://schemas.openxmlformats.org/officeDocument/2006/relationships/hyperlink" Id="rId31" Target="2a.pdf" TargetMode="External" /><Relationship Type="http://schemas.openxmlformats.org/officeDocument/2006/relationships/hyperlink" Id="rId34" Target="3.pdf" TargetMode="External" /><Relationship Type="http://schemas.openxmlformats.org/officeDocument/2006/relationships/hyperlink" Id="rId37" Target="4.pdf" TargetMode="External" /><Relationship Type="http://schemas.openxmlformats.org/officeDocument/2006/relationships/hyperlink" Id="rId40" Target="5.pdf" TargetMode="External" /><Relationship Type="http://schemas.openxmlformats.org/officeDocument/2006/relationships/hyperlink" Id="rId44" Target="6.pdf" TargetMode="External" /><Relationship Type="http://schemas.openxmlformats.org/officeDocument/2006/relationships/hyperlink" Id="rId45" Target="6a.pdf" TargetMode="External" /><Relationship Type="http://schemas.openxmlformats.org/officeDocument/2006/relationships/hyperlink" Id="rId49" Target="7.pdf" TargetMode="External" /><Relationship Type="http://schemas.openxmlformats.org/officeDocument/2006/relationships/hyperlink" Id="rId52" Target="8.pdf" TargetMode="External" /><Relationship Type="http://schemas.openxmlformats.org/officeDocument/2006/relationships/hyperlink" Id="rId56" Target="9.pdf" TargetMode="External" /><Relationship Type="http://schemas.openxmlformats.org/officeDocument/2006/relationships/hyperlink" Id="rId57" Target="9a.pdf" TargetMode="External" /><Relationship Type="http://schemas.openxmlformats.org/officeDocument/2006/relationships/hyperlink" Id="rId58" Target="9b.pdf" TargetMode="External" /><Relationship Type="http://schemas.openxmlformats.org/officeDocument/2006/relationships/hyperlink" Id="rId59" Target="9c.pdf" TargetMode="External" /><Relationship Type="http://schemas.openxmlformats.org/officeDocument/2006/relationships/hyperlink" Id="rId77" Target="http://company.stcn.com/2016/0913/12879498.shtml" TargetMode="External" /><Relationship Type="http://schemas.openxmlformats.org/officeDocument/2006/relationships/hyperlink" Id="rId74" Target="http://company.stcn.com/2016/0913/12879506.shtml" TargetMode="External" /><Relationship Type="http://schemas.openxmlformats.org/officeDocument/2006/relationships/hyperlink" Id="rId71" Target="http://company.stcn.com/2016/0913/12879511.shtml" TargetMode="External" /><Relationship Type="http://schemas.openxmlformats.org/officeDocument/2006/relationships/hyperlink" Id="rId68" Target="http://company.stcn.com/2016/0913/12881140.shtml" TargetMode="External" /><Relationship Type="http://schemas.openxmlformats.org/officeDocument/2006/relationships/hyperlink" Id="rId65" Target="http://company.stcn.com/2016/0914/12881429.shtml" TargetMode="External" /><Relationship Type="http://schemas.openxmlformats.org/officeDocument/2006/relationships/hyperlink" Id="rId62" Target="http://company.stcn.com/2016/0914/12881436.shtml" TargetMode="External" /><Relationship Type="http://schemas.openxmlformats.org/officeDocument/2006/relationships/hyperlink" Id="rId43" Target="http://gss.mof.gov.cn/zhengwuxinxi/zhengcefabu/201609/t20160914_2417642.html" TargetMode="External" /><Relationship Type="http://schemas.openxmlformats.org/officeDocument/2006/relationships/hyperlink" Id="rId48" Target="http://smfws.mofcom.gov.cn/article/cwgongzuo/huiyjl/201609/20160901389052.shtml" TargetMode="External" /><Relationship Type="http://schemas.openxmlformats.org/officeDocument/2006/relationships/hyperlink" Id="rId33" Target="http://www.cbrc.gov.cn/chinese/home/docDOC_ReadView/5722AF33CF91470687F650889FD437F1.html" TargetMode="External" /><Relationship Type="http://schemas.openxmlformats.org/officeDocument/2006/relationships/hyperlink" Id="rId21" Target="http://www.charltonslaw.com.cn/quan-guo-gu-zhuan-gong-si-qi-dong-si-mu-ji-gou-zuo-shi-ye-wu-shi-dian/" TargetMode="External" /><Relationship Type="http://schemas.openxmlformats.org/officeDocument/2006/relationships/hyperlink" Id="rId36" Target="http://www.csrc.gov.cn/pub/zjhpublic/G00306201/201609/t20160909_303228.htm" TargetMode="External" /><Relationship Type="http://schemas.openxmlformats.org/officeDocument/2006/relationships/hyperlink" Id="rId39" Target="http://www.csrc.gov.cn/pub/zjhpublic/G00306201/201609/t20160909_303231.htm" TargetMode="External" /><Relationship Type="http://schemas.openxmlformats.org/officeDocument/2006/relationships/hyperlink" Id="rId51" Target="http://www.mofcom.gov.cn/article/b/xxfb/201609/20160901392349.shtml" TargetMode="External" /><Relationship Type="http://schemas.openxmlformats.org/officeDocument/2006/relationships/hyperlink" Id="rId29" Target="http://www.neeq.com.cn/notice/3145.html" TargetMode="External" /><Relationship Type="http://schemas.openxmlformats.org/officeDocument/2006/relationships/hyperlink" Id="rId25" Target="http://www.neeq.com.cn/notice/3157.html" TargetMode="External" /><Relationship Type="http://schemas.openxmlformats.org/officeDocument/2006/relationships/hyperlink" Id="rId55" Target="http://www.sda.gov.cn/WS01/CL1605/164244.html" TargetMode="External" /><Relationship Type="http://schemas.openxmlformats.org/officeDocument/2006/relationships/hyperlink" Id="rId79"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Macintosh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第516期 - 2016年09月20日</dc:title>
  <dc:creator/>
</cp:coreProperties>
</file>