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第522期</w:t>
      </w:r>
      <w:r>
        <w:t xml:space="preserve"> </w:t>
      </w:r>
      <w:r>
        <w:t xml:space="preserve">-</w:t>
      </w:r>
      <w:r>
        <w:t xml:space="preserve"> </w:t>
      </w:r>
      <w:r>
        <w:t xml:space="preserve">2016年12月09日</w:t>
      </w:r>
    </w:p>
    <w:p>
      <w:hyperlink r:id="rId21">
        <w:r>
          <w:rPr>
            <w:rStyle w:val="Link"/>
          </w:rPr>
          <w:t xml:space="preserve">网络版</w:t>
        </w:r>
      </w:hyperlink>
    </w:p>
    <w:p>
      <w:pPr>
        <w:pStyle w:val="Heading1"/>
      </w:pPr>
      <w:bookmarkStart w:id="22" w:name="深交所发布关于修改深圳证券交易所融资融券交易实施细则的通知"/>
      <w:bookmarkEnd w:id="22"/>
      <w:r>
        <w:t xml:space="preserve">深交所发布关于修改《深圳证券交易所融资融券交易实施细则》的通知</w:t>
      </w:r>
    </w:p>
    <w:p>
      <w:pPr>
        <w:pStyle w:val="Heading2"/>
      </w:pPr>
      <w:bookmarkStart w:id="23" w:name="资本市场"/>
      <w:bookmarkEnd w:id="23"/>
      <w:r>
        <w:t xml:space="preserve">资本市场</w:t>
      </w:r>
    </w:p>
    <w:p>
      <w:pPr>
        <w:pStyle w:val="Heading3"/>
      </w:pPr>
      <w:bookmarkStart w:id="24" w:name="深交所发布关于修改深圳证券交易所融资融券交易实施细则的通知-1"/>
      <w:bookmarkEnd w:id="24"/>
      <w:r>
        <w:t xml:space="preserve">深交所发布关于修改《深圳证券交易所融资融券交易实施细则》的通知</w:t>
      </w:r>
    </w:p>
    <w:p>
      <w:r>
        <w:t xml:space="preserve">深圳证券交易所近日发布《关于修改</w:t>
      </w:r>
      <w:r>
        <w:t xml:space="preserve">第4.2条、第8.1条的通知》（以下简称《通知》），通知中指出，对《深圳证券交易所融资融券交易实施细则（2015年修订）》（以下简称《实施细则》）第4.2条、第8.1条进行了修改。《通知》自2016年12月12日起施行。</w:t>
      </w:r>
    </w:p>
    <w:p>
      <w:r>
        <w:t xml:space="preserve">《通知》中明确，将《实施细则》第4.2条第（四）项修改为：“被实行风险警示、暂停上市或进入退市整理期的证券，静态市盈率在300倍以上或为负数的A股股票，以及权证的折算率为0%”。《通知》还中明确，在《实施细则》第8.1条增加一项，作为第（九）项：“静态市盈率，是指股票收盘价与相应上市公司最近一个会计年度经审计的基本每股收益的比值”。</w:t>
      </w:r>
    </w:p>
    <w:p>
      <w:hyperlink r:id="rId25">
        <w:r>
          <w:rPr>
            <w:rStyle w:val="Link"/>
          </w:rPr>
          <w:t xml:space="preserve">来源</w:t>
        </w:r>
      </w:hyperlink>
      <w:r>
        <w:t xml:space="preserve"> </w:t>
      </w:r>
      <w:r>
        <w:t xml:space="preserve">(</w:t>
      </w:r>
      <w:hyperlink r:id="rId26">
        <w:r>
          <w:rPr>
            <w:rStyle w:val="Link"/>
          </w:rPr>
          <w:t xml:space="preserve">副本</w:t>
        </w:r>
      </w:hyperlink>
      <w:r>
        <w:t xml:space="preserve">) (</w:t>
      </w:r>
      <w:hyperlink r:id="rId27">
        <w:r>
          <w:rPr>
            <w:rStyle w:val="Link"/>
          </w:rPr>
          <w:t xml:space="preserve">副本</w:t>
        </w:r>
      </w:hyperlink>
      <w:r>
        <w:t xml:space="preserve">)</w:t>
      </w:r>
    </w:p>
    <w:p>
      <w:pPr>
        <w:pStyle w:val="Heading3"/>
      </w:pPr>
      <w:bookmarkStart w:id="28" w:name="上交所发布关于修改上海证券交易所融资融券交易实施细则的通知"/>
      <w:bookmarkEnd w:id="28"/>
      <w:r>
        <w:t xml:space="preserve">上交所发布关于修改《上海证券交易所融资融券交易实施细则》的通知</w:t>
      </w:r>
    </w:p>
    <w:p>
      <w:r>
        <w:t xml:space="preserve">上海证券交易所近日发布《关于修改</w:t>
      </w:r>
      <w:r>
        <w:t xml:space="preserve">第三十五条、第六十五条的通知》（以下简称《通知》），通知中指出，对《上海证券交易所融资融券交易实施细则》（以下简称《实施细则》）第三十五条、第六十五条条进行了修改。《通知》自2016年12月12日起施行。</w:t>
      </w:r>
    </w:p>
    <w:p>
      <w:r>
        <w:t xml:space="preserve">《通知》中明确，将《实施细则》第三十五条第（四）项修改为：“被实施风险警示、暂停上市、进入退市整理期的证券，静态市盈率在300倍以上或者为负数的A股股票，以及权证的折算率为0%。”《通知》中还明确，将《实施细则》第六十五条增加一项，作为第（七）项：“静态市盈率，是指股票收盘价与相应上市公司最近一个会计年度经审计的基本每股收益的比值。”</w:t>
      </w:r>
    </w:p>
    <w:p>
      <w:hyperlink r:id="rId29">
        <w:r>
          <w:rPr>
            <w:rStyle w:val="Link"/>
          </w:rPr>
          <w:t xml:space="preserve">来源</w:t>
        </w:r>
      </w:hyperlink>
      <w:r>
        <w:t xml:space="preserve"> </w:t>
      </w:r>
      <w:r>
        <w:t xml:space="preserve">(</w:t>
      </w:r>
      <w:hyperlink r:id="rId30">
        <w:r>
          <w:rPr>
            <w:rStyle w:val="Link"/>
          </w:rPr>
          <w:t xml:space="preserve">副本</w:t>
        </w:r>
      </w:hyperlink>
      <w:r>
        <w:t xml:space="preserve">)</w:t>
      </w:r>
    </w:p>
    <w:p>
      <w:pPr>
        <w:pStyle w:val="Heading3"/>
      </w:pPr>
      <w:bookmarkStart w:id="31" w:name="深交所发布关于扩大融资融券标的股票范围的通知"/>
      <w:bookmarkEnd w:id="31"/>
      <w:r>
        <w:t xml:space="preserve">深交所发布《关于扩大融资融券标的股票范围的通知》</w:t>
      </w:r>
    </w:p>
    <w:p>
      <w:r>
        <w:t xml:space="preserve">深圳证券交易所近日发布《关于扩大融资融券标的股票范围的通知》（以下简称《通知》）， 《通知》自2016年12月12日起施行。深圳证券交易所于2014年9月12日发布的《关于扩大融资融券标的证券范围的通知》同时废止。</w:t>
      </w:r>
    </w:p>
    <w:p>
      <w:r>
        <w:t xml:space="preserve">《通知》中指出，经中国证监会批准，深圳证券交易所决定扩大融资融券标的股票范围，由现有388只扩大到425只。《通知》中还明确了新增标的股票的选取标准，即对符合《深圳证券交易所融资融券交易实施细则（2015年修订）》第3.2条规定的深圳证券交易的股票，按照加权评价指标从大到小排序，综合考虑市盈率、上市公司及市场情况，选取37只股票作为新增标的股票。</w:t>
      </w:r>
    </w:p>
    <w:p>
      <w:hyperlink r:id="rId32">
        <w:r>
          <w:rPr>
            <w:rStyle w:val="Link"/>
          </w:rPr>
          <w:t xml:space="preserve">来源</w:t>
        </w:r>
      </w:hyperlink>
      <w:r>
        <w:t xml:space="preserve"> </w:t>
      </w:r>
      <w:r>
        <w:t xml:space="preserve">(</w:t>
      </w:r>
      <w:hyperlink r:id="rId33">
        <w:r>
          <w:rPr>
            <w:rStyle w:val="Link"/>
          </w:rPr>
          <w:t xml:space="preserve">副本</w:t>
        </w:r>
      </w:hyperlink>
      <w:r>
        <w:t xml:space="preserve">) (</w:t>
      </w:r>
      <w:hyperlink r:id="rId34">
        <w:r>
          <w:rPr>
            <w:rStyle w:val="Link"/>
          </w:rPr>
          <w:t xml:space="preserve">副本</w:t>
        </w:r>
      </w:hyperlink>
      <w:r>
        <w:t xml:space="preserve">) (</w:t>
      </w:r>
      <w:hyperlink r:id="rId35">
        <w:r>
          <w:rPr>
            <w:rStyle w:val="Link"/>
          </w:rPr>
          <w:t xml:space="preserve">副本</w:t>
        </w:r>
      </w:hyperlink>
      <w:r>
        <w:t xml:space="preserve">)</w:t>
      </w:r>
    </w:p>
    <w:p>
      <w:pPr>
        <w:pStyle w:val="Heading3"/>
      </w:pPr>
      <w:bookmarkStart w:id="36" w:name="上交所发布关于扩大融资融券标的股票范围相关事项的通知"/>
      <w:bookmarkEnd w:id="36"/>
      <w:r>
        <w:t xml:space="preserve">上交所发布《关于扩大融资融券标的股票范围相关事项的通知》</w:t>
      </w:r>
    </w:p>
    <w:p>
      <w:r>
        <w:t xml:space="preserve">上海证券交易所近日发布《关于扩大融资融券标的股票范围相关事项的通知》（以下简称《通知》），《通知》自2016年12月12日起施行。上海证券交易所于2014年9月12日发布的《关于扩大融资融券标的股票范围相关事项的通知》同时废止。</w:t>
      </w:r>
    </w:p>
    <w:p>
      <w:r>
        <w:t xml:space="preserve">《通知》中指出，经中国证监会批准，根据《上海证券交易所融资融券交易实施细则》（以下简称《实施细则》），上海证券交易所决定扩大融资融券标的股票范围。《通知》中还明确了本次扩大标的股票范围的选取标准，即对符合《实施细则》第二十四条规定条件的本所上市股票，按照加权评价指标从大到小排序，并综合考虑市盈率等情况，选取40只股票作为新增标的股票。</w:t>
      </w:r>
    </w:p>
    <w:p>
      <w:hyperlink r:id="rId37">
        <w:r>
          <w:rPr>
            <w:rStyle w:val="Link"/>
          </w:rPr>
          <w:t xml:space="preserve">来源</w:t>
        </w:r>
      </w:hyperlink>
      <w:r>
        <w:t xml:space="preserve"> </w:t>
      </w:r>
      <w:r>
        <w:t xml:space="preserve">(</w:t>
      </w:r>
      <w:hyperlink r:id="rId38">
        <w:r>
          <w:rPr>
            <w:rStyle w:val="Link"/>
          </w:rPr>
          <w:t xml:space="preserve">副本</w:t>
        </w:r>
      </w:hyperlink>
      <w:r>
        <w:t xml:space="preserve">) (</w:t>
      </w:r>
      <w:hyperlink r:id="rId39">
        <w:r>
          <w:rPr>
            <w:rStyle w:val="Link"/>
          </w:rPr>
          <w:t xml:space="preserve">副本</w:t>
        </w:r>
      </w:hyperlink>
      <w:r>
        <w:t xml:space="preserve">)</w:t>
      </w:r>
    </w:p>
    <w:p>
      <w:pPr>
        <w:pStyle w:val="Heading2"/>
      </w:pPr>
      <w:bookmarkStart w:id="40" w:name="税收"/>
      <w:bookmarkEnd w:id="40"/>
      <w:r>
        <w:t xml:space="preserve">税收</w:t>
      </w:r>
    </w:p>
    <w:p>
      <w:pPr>
        <w:pStyle w:val="Heading3"/>
      </w:pPr>
      <w:bookmarkStart w:id="41" w:name="两部门落实降低企业杠杆率税收支持政策"/>
      <w:bookmarkEnd w:id="41"/>
      <w:r>
        <w:t xml:space="preserve">两部门：落实降低企业杠杆率税收支持政策</w:t>
      </w:r>
    </w:p>
    <w:p>
      <w:r>
        <w:t xml:space="preserve">财政部和国家税务总局近日联合发布了《关于落实降低企业杠杆率税收支持政策的通知》（以下简称《通知》）。</w:t>
      </w:r>
    </w:p>
    <w:p>
      <w:r>
        <w:t xml:space="preserve">《通知》中指出，企业符合税法规定条件的股权（资产）收购、合并、债务重组等重组行为，可按税法规定享受企业所得税递延纳税优惠政策。《通知》中指出，在企业重组过程中，企业通过合并、分立、出售、置换等方式，将全部或者部分实物资产以及与其相关联的债权、负债和劳动力，一并转让给其他单位和个人，其中涉及的货物、不动产、土地使用权转让行为，符合规定的，不征收增值税。</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两部门防汛专用车免征车辆购置税"/>
      <w:bookmarkEnd w:id="44"/>
      <w:r>
        <w:t xml:space="preserve">两部门：防汛专用车免征车辆购置税</w:t>
      </w:r>
    </w:p>
    <w:p>
      <w:r>
        <w:t xml:space="preserve">财政部、国家税务总局近日印发《关于2016年防汛专用车免征车辆购置税的通知》（以下简称《通知》）。《通知》规定，对列入各省、自治区、直辖市2016年防汛专用车配置计划，并经国家防汛抗旱总指挥部办公室核定的24辆防汛专用车免征车辆购置税。免税指标的使用截止期限为2017年6月30日，过期失效。</w:t>
      </w:r>
    </w:p>
    <w:p>
      <w:r>
        <w:t xml:space="preserve">《通知》中指出，购车单位在办理车辆购置税纳税申报手续时，需向所在地主管税务机关提供车辆内观、外观彩色5寸照片1套，出示国家防汛抗旱总指挥部办公室随车配发的“防汛专用车证”。主管税务机关依据本通知所附的免税车辆指标分配表及车辆内观、外观彩色照片、“防汛专用车证”为购车单位办理免税手续。</w:t>
      </w:r>
    </w:p>
    <w:p>
      <w:hyperlink r:id="rId45">
        <w:r>
          <w:rPr>
            <w:rStyle w:val="Link"/>
          </w:rPr>
          <w:t xml:space="preserve">来源</w:t>
        </w:r>
      </w:hyperlink>
      <w:r>
        <w:t xml:space="preserve"> </w:t>
      </w:r>
      <w:r>
        <w:t xml:space="preserve">(</w:t>
      </w:r>
      <w:hyperlink r:id="rId46">
        <w:r>
          <w:rPr>
            <w:rStyle w:val="Link"/>
          </w:rPr>
          <w:t xml:space="preserve">副本</w:t>
        </w:r>
      </w:hyperlink>
      <w:r>
        <w:t xml:space="preserve">) (</w:t>
      </w:r>
      <w:hyperlink r:id="rId47">
        <w:r>
          <w:rPr>
            <w:rStyle w:val="Link"/>
          </w:rPr>
          <w:t xml:space="preserve">副本</w:t>
        </w:r>
      </w:hyperlink>
      <w:r>
        <w:t xml:space="preserve">)</w:t>
      </w:r>
    </w:p>
    <w:p>
      <w:pPr>
        <w:pStyle w:val="Heading3"/>
      </w:pPr>
      <w:bookmarkStart w:id="48" w:name="三部门十三五期间继续对进口种子种源免征进口环节增值税"/>
      <w:bookmarkEnd w:id="48"/>
      <w:r>
        <w:t xml:space="preserve">三部门:“十三五”期间继续对进口种子种源免征进口环节增值税</w:t>
      </w:r>
    </w:p>
    <w:p>
      <w:r>
        <w:t xml:space="preserve">财政部,海关总署,国家税务总局近日印发《关于“十三五”期间进口种子种源税收政策管理办法的通知》(以下简称《通知》)。</w:t>
      </w:r>
    </w:p>
    <w:p>
      <w:r>
        <w:t xml:space="preserve">《通知》中明确，“十三五”期间，即2016年1月1日至2020年12月31日，继续对进口种子（苗）、种畜（禽）、鱼种（苗）和种用野生动植物种源免征进口环节增值税。《通知》中指出，种子种源进口免税政策旨在支持引进和推广良种，加强物种资源保护，丰富我国动植物资源，发展优质、高产、高效农林业，降低农林产品生产成本。</w:t>
      </w:r>
    </w:p>
    <w:p>
      <w:hyperlink r:id="rId49">
        <w:r>
          <w:rPr>
            <w:rStyle w:val="Link"/>
          </w:rPr>
          <w:t xml:space="preserve">来源</w:t>
        </w:r>
      </w:hyperlink>
      <w:r>
        <w:t xml:space="preserve"> </w:t>
      </w:r>
      <w:r>
        <w:t xml:space="preserve">(</w:t>
      </w:r>
      <w:hyperlink r:id="rId50">
        <w:r>
          <w:rPr>
            <w:rStyle w:val="Link"/>
          </w:rPr>
          <w:t xml:space="preserve">副本</w:t>
        </w:r>
      </w:hyperlink>
      <w:r>
        <w:t xml:space="preserve">) (</w:t>
      </w:r>
      <w:hyperlink r:id="rId51">
        <w:r>
          <w:rPr>
            <w:rStyle w:val="Link"/>
          </w:rPr>
          <w:t xml:space="preserve">副本</w:t>
        </w:r>
      </w:hyperlink>
      <w:r>
        <w:t xml:space="preserve">) (</w:t>
      </w:r>
      <w:hyperlink r:id="rId52">
        <w:r>
          <w:rPr>
            <w:rStyle w:val="Link"/>
          </w:rPr>
          <w:t xml:space="preserve">副本</w:t>
        </w:r>
      </w:hyperlink>
      <w:r>
        <w:t xml:space="preserve">) (</w:t>
      </w:r>
      <w:hyperlink r:id="rId53">
        <w:r>
          <w:rPr>
            <w:rStyle w:val="Link"/>
          </w:rPr>
          <w:t xml:space="preserve">副本</w:t>
        </w:r>
      </w:hyperlink>
      <w:r>
        <w:t xml:space="preserve">) (</w:t>
      </w:r>
      <w:hyperlink r:id="rId54">
        <w:r>
          <w:rPr>
            <w:rStyle w:val="Link"/>
          </w:rPr>
          <w:t xml:space="preserve">副本</w:t>
        </w:r>
      </w:hyperlink>
      <w:r>
        <w:t xml:space="preserve">) (</w:t>
      </w:r>
      <w:hyperlink r:id="rId55">
        <w:r>
          <w:rPr>
            <w:rStyle w:val="Link"/>
          </w:rPr>
          <w:t xml:space="preserve">副本</w:t>
        </w:r>
      </w:hyperlink>
      <w:r>
        <w:t xml:space="preserve">) (</w:t>
      </w:r>
      <w:hyperlink r:id="rId56">
        <w:r>
          <w:rPr>
            <w:rStyle w:val="Link"/>
          </w:rPr>
          <w:t xml:space="preserve">副本</w:t>
        </w:r>
      </w:hyperlink>
      <w:r>
        <w:t xml:space="preserve">) (</w:t>
      </w:r>
      <w:hyperlink r:id="rId57">
        <w:r>
          <w:rPr>
            <w:rStyle w:val="Link"/>
          </w:rPr>
          <w:t xml:space="preserve">副本</w:t>
        </w:r>
      </w:hyperlink>
      <w:r>
        <w:t xml:space="preserve">)</w:t>
      </w:r>
    </w:p>
    <w:p>
      <w:pPr>
        <w:pStyle w:val="Heading2"/>
      </w:pPr>
      <w:bookmarkStart w:id="58" w:name="保险"/>
      <w:bookmarkEnd w:id="58"/>
      <w:r>
        <w:t xml:space="preserve">保险</w:t>
      </w:r>
    </w:p>
    <w:p>
      <w:pPr>
        <w:pStyle w:val="Heading3"/>
      </w:pPr>
      <w:bookmarkStart w:id="59" w:name="保监会发布再保险数据交换规范jrt00362016行业标准"/>
      <w:bookmarkEnd w:id="59"/>
      <w:r>
        <w:t xml:space="preserve">保监会：发布《再保险数据交换规范（JR/T0036－2016）》行业标准</w:t>
      </w:r>
    </w:p>
    <w:p>
      <w:r>
        <w:t xml:space="preserve">中国保监会近日发布了《关于发布</w:t>
      </w:r>
      <w:r>
        <w:t xml:space="preserve">行业标准的通知》（以下简称《通知》）。</w:t>
      </w:r>
    </w:p>
    <w:p>
      <w:r>
        <w:t xml:space="preserve">通知中指出，全国金融标准化技术委员会保险分技术委员会对《再保险数据交换规范（JR/T0036－2007）》进行修订，制定了《再保险数据交换规范（JR/T0036－2016）》行业标准，并通过了审查，按照《全国金融标准化技术委员会保险分技术委员会章程》，予以发布。</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2"/>
      </w:pPr>
      <w:bookmarkStart w:id="62" w:name="行业"/>
      <w:bookmarkEnd w:id="62"/>
      <w:r>
        <w:t xml:space="preserve">行业</w:t>
      </w:r>
    </w:p>
    <w:p>
      <w:pPr>
        <w:pStyle w:val="Heading3"/>
      </w:pPr>
      <w:bookmarkStart w:id="63" w:name="文化部提倡网游经营单位设未成年用户消费限额以及限定未成年用户游戏时间"/>
      <w:bookmarkEnd w:id="63"/>
      <w:r>
        <w:t xml:space="preserve">文化部：提倡网游经营单位设未成年用户消费限额以及限定未成年用户游戏时间</w:t>
      </w:r>
    </w:p>
    <w:p>
      <w:r>
        <w:t xml:space="preserve">文化部近日发布《关于规范网络游戏运营加强事中事后监管工作的通知》(以下简称《通知》), 通知自2017年5月1日起施行。</w:t>
      </w:r>
    </w:p>
    <w:p>
      <w:r>
        <w:t xml:space="preserve">《通知》中指出, 网络游戏运营企业应当严格落实“网络游戏未成年人家长监护工程”的有关规定。提倡网络游戏经营单位在落实“网络游戏未成年人家长监护工程”基础上，设置未成年用户消费限额，限定未成年用户游戏时间，并采取技术措施屏蔽不适宜未成年用户的场景和功能等。</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食药监管局加强婴幼儿配方乳粉监管"/>
      <w:bookmarkEnd w:id="66"/>
      <w:r>
        <w:t xml:space="preserve">食药监管局：加强婴幼儿配方乳粉监管</w:t>
      </w:r>
    </w:p>
    <w:p>
      <w:r>
        <w:t xml:space="preserve">国家食品药品监管总局近日发布了《关于进一步加强婴幼儿配方乳粉监管有关工作的公告》（以下简称《公告》）。《公告》中对关于基粉的使用，关于换发生产许可证等作出规定。</w:t>
      </w:r>
    </w:p>
    <w:p>
      <w:r>
        <w:t xml:space="preserve">《公告》规定，对于使用同一集团所属不在同一厂区生产的基粉，或进口基粉的，婴幼儿配方乳粉生产企业应对基粉进行逐批全项目检验，确保基粉质量安全。此条规定要求企业对使用的基粉逐批全项目检验。《公告》还规定，对于使用同一集团所属不在同一厂区生产的基粉，或进口基粉的，各省级食品药品监管部门应按照干法工艺相关技术要求，组织实施生产许可审查或延续许可审查，符合条件的，发放“婴幼儿配方乳粉（干湿法复合工艺）”生产许可证，并在生产许可证副页加注“干法工艺部分”。此条规定使生产许可证工艺标示更加严谨。</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十三五生态环境保护规划发布环境质量首列为约束指标"/>
      <w:bookmarkEnd w:id="69"/>
      <w:r>
        <w:t xml:space="preserve">十三五生态环境保护规划发布：环境质量首列为约束指标</w:t>
      </w:r>
    </w:p>
    <w:p>
      <w:r>
        <w:t xml:space="preserve">2016年12月5日，国务院正式发布《“十三五”生态环境保护规划》（以下简称《规划》）。《规划》中提出，深化质量管理，大力实施大气、水、土壤三大行动计划，并制定大气、水、土壤三大污染防治行动计划的施工图。</w:t>
      </w:r>
    </w:p>
    <w:p>
      <w:r>
        <w:t xml:space="preserve">《规划》提出12项约束性指标，包括地级及以上城市空气质量优良天数、细颗粒物未达标地级及以上城市浓度、地表水质量达到或好于Ⅲ类水体比例等，其中涉及环境质量的8项指标，是第一次进入五年规划的约束性指标。《规划》中还明确，将对实施情况定期监测评估。2018年底进行中期评估，2020年底进行终期考核，考核结果向国务院报告，向社会公布。</w:t>
      </w:r>
    </w:p>
    <w:p>
      <w:hyperlink r:id="rId70">
        <w:r>
          <w:rPr>
            <w:rStyle w:val="Link"/>
          </w:rPr>
          <w:t xml:space="preserve">来源</w:t>
        </w:r>
      </w:hyperlink>
      <w:r>
        <w:t xml:space="preserve"> </w:t>
      </w:r>
      <w:hyperlink r:id="rId71">
        <w:r>
          <w:rPr>
            <w:rStyle w:val="Link"/>
          </w:rPr>
          <w:t xml:space="preserve">来源</w:t>
        </w:r>
      </w:hyperlink>
      <w:r>
        <w:t xml:space="preserve"> </w:t>
      </w:r>
      <w:r>
        <w:t xml:space="preserve">(</w:t>
      </w:r>
      <w:hyperlink r:id="rId72">
        <w:r>
          <w:rPr>
            <w:rStyle w:val="Link"/>
          </w:rPr>
          <w:t xml:space="preserve">副本</w:t>
        </w:r>
      </w:hyperlink>
      <w:r>
        <w:t xml:space="preserve">) (</w:t>
      </w:r>
      <w:hyperlink r:id="rId73">
        <w:r>
          <w:rPr>
            <w:rStyle w:val="Link"/>
          </w:rPr>
          <w:t xml:space="preserve">副本</w:t>
        </w:r>
      </w:hyperlink>
      <w:r>
        <w:t xml:space="preserve">)</w:t>
      </w:r>
    </w:p>
    <w:p>
      <w:pPr>
        <w:pStyle w:val="Heading2"/>
      </w:pPr>
      <w:bookmarkStart w:id="74" w:name="并购"/>
      <w:bookmarkEnd w:id="74"/>
      <w:r>
        <w:t xml:space="preserve">并购</w:t>
      </w:r>
    </w:p>
    <w:p>
      <w:pPr>
        <w:pStyle w:val="Heading3"/>
      </w:pPr>
      <w:bookmarkStart w:id="75" w:name="中国三大交易所拟联合收购巴基斯坦交易所40股权"/>
      <w:bookmarkEnd w:id="75"/>
      <w:r>
        <w:t xml:space="preserve">中国三大交易所拟联合收购巴基斯坦交易所40%股权</w:t>
      </w:r>
    </w:p>
    <w:p>
      <w:r>
        <w:t xml:space="preserve">上海证券交易所、深圳证券交易所、中国金融期货交易所以及中巴投资公司拟联合收购巴基斯坦证券交易所40%的股权，几大收购方已向巴基斯坦证券交易所递出收购意向书。</w:t>
      </w:r>
    </w:p>
    <w:p>
      <w:r>
        <w:t xml:space="preserve">巴基斯坦证券交易所是目前巴基斯坦唯一的证券交易所，于今年1月由伊斯兰堡、卡拉奇、拉合尔三大交易所合并。据此前日本媒体报道，巴基斯坦证交所下属结算委员会理事阿亚兹·阿夫扎尔向《日本经济新闻》表示，有来自中东地区的证交所也向巴基斯坦证交所发出了意向书。巴基斯坦证交所首席执行官也曾表示，与伦敦、上海、土耳其和卡塔尔的证交所都进行了接触，股权最终花落谁家将在明年春季左右揭晓。</w:t>
      </w:r>
    </w:p>
    <w:p>
      <w:hyperlink r:id="rId76">
        <w:r>
          <w:rPr>
            <w:rStyle w:val="Link"/>
          </w:rPr>
          <w:t xml:space="preserve">来源</w:t>
        </w:r>
      </w:hyperlink>
      <w:r>
        <w:t xml:space="preserve"> </w:t>
      </w:r>
      <w:r>
        <w:t xml:space="preserve">(</w:t>
      </w:r>
      <w:hyperlink r:id="rId77">
        <w:r>
          <w:rPr>
            <w:rStyle w:val="Link"/>
          </w:rPr>
          <w:t xml:space="preserve">副本</w:t>
        </w:r>
      </w:hyperlink>
      <w:r>
        <w:t xml:space="preserve">)</w:t>
      </w:r>
    </w:p>
    <w:p>
      <w:pPr>
        <w:pStyle w:val="Heading3"/>
      </w:pPr>
      <w:bookmarkStart w:id="78" w:name="金科集团收购海尔地产旗下三公司股权"/>
      <w:bookmarkEnd w:id="78"/>
      <w:r>
        <w:t xml:space="preserve">金科集团收购海尔地产旗下三公司股权</w:t>
      </w:r>
    </w:p>
    <w:p>
      <w:r>
        <w:t xml:space="preserve">金科集团于2016年12月5日晚间公告，公司全资子公司山东百俊房地产开发有限公司于2016年12月2日与青岛海尔地产集团有限公司（以下简称“海尔地产”）签订《股权转让协议》，以自有资金出资23.51亿元收购海尔地产持有的济南海睿、青岛海昌、泰安海大三家房地产公司的全部股权。</w:t>
      </w:r>
    </w:p>
    <w:p>
      <w:r>
        <w:t xml:space="preserve">金科集团此次收购的三项标的资产中，济南海睿开发项目为海尔·澜山公馆项目，截至2016年8月末，其总资产为6.98亿元, 净资产为-1016.95万元;青岛海昌开发项目为青岛罗兰公馆项目，截至今年8月末，其总资产为2.15亿元，净资产为-19.57万元；泰安海大开发项目为泰安桃花源项目，截至今年8月末，其总资产为10.82亿元，净资产为-4539.86万元。</w:t>
      </w:r>
    </w:p>
    <w:p>
      <w:hyperlink r:id="rId79">
        <w:r>
          <w:rPr>
            <w:rStyle w:val="Link"/>
          </w:rPr>
          <w:t xml:space="preserve">来源</w:t>
        </w:r>
      </w:hyperlink>
      <w:r>
        <w:t xml:space="preserve"> </w:t>
      </w:r>
      <w:r>
        <w:t xml:space="preserve">(</w:t>
      </w:r>
      <w:hyperlink r:id="rId80">
        <w:r>
          <w:rPr>
            <w:rStyle w:val="Link"/>
          </w:rPr>
          <w:t xml:space="preserve">副本</w:t>
        </w:r>
      </w:hyperlink>
      <w:r>
        <w:t xml:space="preserve">)</w:t>
      </w:r>
    </w:p>
    <w:p>
      <w:pPr>
        <w:pStyle w:val="Heading3"/>
      </w:pPr>
      <w:bookmarkStart w:id="81" w:name="雅化集团拟收购三笔澳洲企业资产"/>
      <w:bookmarkEnd w:id="81"/>
      <w:r>
        <w:t xml:space="preserve">雅化集团拟收购三笔澳洲企业资产</w:t>
      </w:r>
    </w:p>
    <w:p>
      <w:r>
        <w:t xml:space="preserve">2016年12月5日晚，四川雅化实业集团股份有限公司(以下简称“雅化集团”)发布公告称，公司拟在澳洲设立新主体，并对位于澳大利亚的三家企业名下的民爆资产和业务进行并购。</w:t>
      </w:r>
    </w:p>
    <w:p>
      <w:r>
        <w:t xml:space="preserve">雅化集团公告称，以雅化澳大利亚公司为投资主体，来设立卡鲁阿那爆破公司。同时，雅化将以卡鲁阿那公司为主体对澳大利亚昆士兰州的卡鲁阿那控股有限公司、卡鲁阿那采矿服务澳大利亚有限公司、卡鲁阿那爆炸品有限公司名下的民爆资产和业务进行并购。雅化集团此次购入的资产，包括了设备、车辆、备件、库存等资产以及商誉及合同等。</w:t>
      </w:r>
    </w:p>
    <w:p>
      <w:hyperlink r:id="rId82">
        <w:r>
          <w:rPr>
            <w:rStyle w:val="Link"/>
          </w:rPr>
          <w:t xml:space="preserve">来源</w:t>
        </w:r>
      </w:hyperlink>
      <w:r>
        <w:t xml:space="preserve"> </w:t>
      </w:r>
      <w:r>
        <w:t xml:space="preserve">(</w:t>
      </w:r>
      <w:hyperlink r:id="rId83">
        <w:r>
          <w:rPr>
            <w:rStyle w:val="Link"/>
          </w:rPr>
          <w:t xml:space="preserve">副本</w:t>
        </w:r>
      </w:hyperlink>
      <w:r>
        <w:t xml:space="preserve">)</w:t>
      </w:r>
    </w:p>
    <w:p>
      <w:pPr>
        <w:pStyle w:val="Heading3"/>
      </w:pPr>
      <w:bookmarkStart w:id="84" w:name="富春通信拟斥资8.8亿元收购摩奇卡卡"/>
      <w:bookmarkEnd w:id="84"/>
      <w:r>
        <w:t xml:space="preserve">富春通信拟斥资8.8亿元收购摩奇卡卡</w:t>
      </w:r>
    </w:p>
    <w:p>
      <w:r>
        <w:t xml:space="preserve">2016年12月6日，富春通信股份有限公司（以下简称“富春通信”）发布了《重大资产重组草案》（以下简称《草案》），公司拟斥资8.8亿元收购成都摩奇卡卡科技有限责任公司（以下简称“摩奇卡卡”）100%股权。《草案》显示，富春通信已与摩奇卡卡交易对方签署了《现金购买摩奇卡卡股权协议》。根据协议约定，富春通信向摩奇卡卡交易对方支付现金购买摩奇卡卡100%股权。根据中联评估出具的《摩奇卡卡资产评估报告》的评估结果，并经各方友好协商，摩奇卡卡100%股权交易价格为88,000万元。</w:t>
      </w:r>
    </w:p>
    <w:p>
      <w:r>
        <w:t xml:space="preserve">摩奇卡卡具备国内一流的网络文学游戏改编能力，具有丰富的IP资源储备和商业化运营经验，自成立以来摩奇卡卡已经推出《校花的贴身高手》、《新大主宰》、《犬夜叉之寻玉之旅》等数款手游，并储备了多项优质 IP 待开发，收购完成后将助力于富春通信的娱乐内容布局。</w:t>
      </w:r>
    </w:p>
    <w:p>
      <w:hyperlink r:id="rId85">
        <w:r>
          <w:rPr>
            <w:rStyle w:val="Link"/>
          </w:rPr>
          <w:t xml:space="preserve">来源</w:t>
        </w:r>
      </w:hyperlink>
      <w:r>
        <w:t xml:space="preserve"> </w:t>
      </w:r>
      <w:r>
        <w:t xml:space="preserve">(</w:t>
      </w:r>
      <w:hyperlink r:id="rId86">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87">
        <w:r>
          <w:rPr>
            <w:rStyle w:val="Link"/>
          </w:rPr>
          <w:t xml:space="preserve">unsubscribe@charltonslaw.com</w:t>
        </w:r>
      </w:hyperlink>
    </w:p>
    <w:p>
      <w:r>
        <w:rPr>
          <w:b/>
        </w:rPr>
        <w:t xml:space="preserve">易周律师行 - 法讯 - 中国 - 第522期 - 2016年12月09日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b1c47e9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68" Target="10.pdf" TargetMode="External" /><Relationship Type="http://schemas.openxmlformats.org/officeDocument/2006/relationships/hyperlink" Id="rId72" Target="11.pdf" TargetMode="External" /><Relationship Type="http://schemas.openxmlformats.org/officeDocument/2006/relationships/hyperlink" Id="rId73" Target="11a.pdf" TargetMode="External" /><Relationship Type="http://schemas.openxmlformats.org/officeDocument/2006/relationships/hyperlink" Id="rId77" Target="12.pdf" TargetMode="External" /><Relationship Type="http://schemas.openxmlformats.org/officeDocument/2006/relationships/hyperlink" Id="rId80" Target="13.pdf" TargetMode="External" /><Relationship Type="http://schemas.openxmlformats.org/officeDocument/2006/relationships/hyperlink" Id="rId83" Target="14.pdf" TargetMode="External" /><Relationship Type="http://schemas.openxmlformats.org/officeDocument/2006/relationships/hyperlink" Id="rId86" Target="15.pdf" TargetMode="External" /><Relationship Type="http://schemas.openxmlformats.org/officeDocument/2006/relationships/hyperlink" Id="rId27" Target="1a.pdf" TargetMode="External" /><Relationship Type="http://schemas.openxmlformats.org/officeDocument/2006/relationships/hyperlink" Id="rId30" Target="2.pdf" TargetMode="External" /><Relationship Type="http://schemas.openxmlformats.org/officeDocument/2006/relationships/hyperlink" Id="rId33" Target="3.pdf" TargetMode="External" /><Relationship Type="http://schemas.openxmlformats.org/officeDocument/2006/relationships/hyperlink" Id="rId34" Target="3a.pdf" TargetMode="External" /><Relationship Type="http://schemas.openxmlformats.org/officeDocument/2006/relationships/hyperlink" Id="rId35" Target="3b.pdf" TargetMode="External" /><Relationship Type="http://schemas.openxmlformats.org/officeDocument/2006/relationships/hyperlink" Id="rId38" Target="4.pdf" TargetMode="External" /><Relationship Type="http://schemas.openxmlformats.org/officeDocument/2006/relationships/hyperlink" Id="rId39" Target="4a.pdf" TargetMode="External" /><Relationship Type="http://schemas.openxmlformats.org/officeDocument/2006/relationships/hyperlink" Id="rId43" Target="5.pdf" TargetMode="External" /><Relationship Type="http://schemas.openxmlformats.org/officeDocument/2006/relationships/hyperlink" Id="rId46" Target="6.pdf" TargetMode="External" /><Relationship Type="http://schemas.openxmlformats.org/officeDocument/2006/relationships/hyperlink" Id="rId47" Target="6a.pdf" TargetMode="External" /><Relationship Type="http://schemas.openxmlformats.org/officeDocument/2006/relationships/hyperlink" Id="rId50" Target="7.pdf" TargetMode="External" /><Relationship Type="http://schemas.openxmlformats.org/officeDocument/2006/relationships/hyperlink" Id="rId51" Target="7a.pdf" TargetMode="External" /><Relationship Type="http://schemas.openxmlformats.org/officeDocument/2006/relationships/hyperlink" Id="rId52" Target="7b.pdf" TargetMode="External" /><Relationship Type="http://schemas.openxmlformats.org/officeDocument/2006/relationships/hyperlink" Id="rId53" Target="7c.pdf" TargetMode="External" /><Relationship Type="http://schemas.openxmlformats.org/officeDocument/2006/relationships/hyperlink" Id="rId54" Target="7d.pdf" TargetMode="External" /><Relationship Type="http://schemas.openxmlformats.org/officeDocument/2006/relationships/hyperlink" Id="rId55" Target="7e.pdf" TargetMode="External" /><Relationship Type="http://schemas.openxmlformats.org/officeDocument/2006/relationships/hyperlink" Id="rId56" Target="7f.pdf" TargetMode="External" /><Relationship Type="http://schemas.openxmlformats.org/officeDocument/2006/relationships/hyperlink" Id="rId57" Target="7g.pdf" TargetMode="External" /><Relationship Type="http://schemas.openxmlformats.org/officeDocument/2006/relationships/hyperlink" Id="rId61" Target="8.pdf" TargetMode="External" /><Relationship Type="http://schemas.openxmlformats.org/officeDocument/2006/relationships/hyperlink" Id="rId65" Target="9.pdf" TargetMode="External" /><Relationship Type="http://schemas.openxmlformats.org/officeDocument/2006/relationships/hyperlink" Id="rId79" Target="http://company.stcn.com/2016/1206/12968003.shtml" TargetMode="External" /><Relationship Type="http://schemas.openxmlformats.org/officeDocument/2006/relationships/hyperlink" Id="rId85" Target="http://company.stcn.com/2016/1206/12969702.shtml" TargetMode="External" /><Relationship Type="http://schemas.openxmlformats.org/officeDocument/2006/relationships/hyperlink" Id="rId82" Target="http://company.stcn.com/2016/1207/12970152.shtml" TargetMode="External" /><Relationship Type="http://schemas.openxmlformats.org/officeDocument/2006/relationships/hyperlink" Id="rId76" Target="http://finance.sina.com.cn/roll/2016-12-07/doc-ifxyicnf1817262.shtml" TargetMode="External" /><Relationship Type="http://schemas.openxmlformats.org/officeDocument/2006/relationships/hyperlink" Id="rId49" Target="http://gss.mof.gov.cn/zhengwuxinxi/zhengcefabu/201612/t20161202_2471634.html" TargetMode="External" /><Relationship Type="http://schemas.openxmlformats.org/officeDocument/2006/relationships/hyperlink" Id="rId45" Target="http://szs.mof.gov.cn/zhengwuxinxi/zhengcefabu/201612/t20161202_2471880.html" TargetMode="External" /><Relationship Type="http://schemas.openxmlformats.org/officeDocument/2006/relationships/hyperlink" Id="rId42" Target="http://szs.mof.gov.cn/zhengwuxinxi/zhengcefabu/201612/t20161205_2472740.html" TargetMode="External" /><Relationship Type="http://schemas.openxmlformats.org/officeDocument/2006/relationships/hyperlink" Id="rId21" Target="http://www.charltonslaw.com.cn/shen-jiao-suo-fa-bu-guan-yu-xiu-gai-shen-zhen-zheng-quan-jiao-yi-suo-rong-zi-rong-quan-jiao-yi-shi-shi-xi-ze-de-tong-zhi/" TargetMode="External" /><Relationship Type="http://schemas.openxmlformats.org/officeDocument/2006/relationships/hyperlink" Id="rId71" Target="http://www.chinalawinfo.com/News/NewsFullText.aspx?NewsId=83540&amp;NewsType=1" TargetMode="External" /><Relationship Type="http://schemas.openxmlformats.org/officeDocument/2006/relationships/hyperlink" Id="rId60" Target="http://www.circ.gov.cn/web/site0/tab5176/info4051861.htm" TargetMode="External" /><Relationship Type="http://schemas.openxmlformats.org/officeDocument/2006/relationships/hyperlink" Id="rId70" Target="http://www.gov.cn/zhengce/content/2016-12/05/content_5143290.htm" TargetMode="External" /><Relationship Type="http://schemas.openxmlformats.org/officeDocument/2006/relationships/hyperlink" Id="rId64" Target="http://www.mcprc.gov.cn/whzx/bnsjdt/whscs/201612/t20161205_464422.html" TargetMode="External" /><Relationship Type="http://schemas.openxmlformats.org/officeDocument/2006/relationships/hyperlink" Id="rId67" Target="http://www.sda.gov.cn/WS01/CL0087/167053.html" TargetMode="External" /><Relationship Type="http://schemas.openxmlformats.org/officeDocument/2006/relationships/hyperlink" Id="rId37" Target="http://www.sse.com.cn/lawandrules/sserules/trading/universal/c/c_20161202_4209851.shtml" TargetMode="External" /><Relationship Type="http://schemas.openxmlformats.org/officeDocument/2006/relationships/hyperlink" Id="rId29" Target="http://www.sse.com.cn/lawandrules/sserules/trading/universal/c/c_20161202_4209852.shtml" TargetMode="External" /><Relationship Type="http://schemas.openxmlformats.org/officeDocument/2006/relationships/hyperlink" Id="rId32" Target="http://www.szse.cn/main/rule/bsywgz/39762497.shtml" TargetMode="External" /><Relationship Type="http://schemas.openxmlformats.org/officeDocument/2006/relationships/hyperlink" Id="rId25" Target="http://www.szse.cn/main/rule/bsywgz/39762498.shtml" TargetMode="External" /><Relationship Type="http://schemas.openxmlformats.org/officeDocument/2006/relationships/hyperlink" Id="rId87"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68" Target="10.pdf" TargetMode="External" /><Relationship Type="http://schemas.openxmlformats.org/officeDocument/2006/relationships/hyperlink" Id="rId72" Target="11.pdf" TargetMode="External" /><Relationship Type="http://schemas.openxmlformats.org/officeDocument/2006/relationships/hyperlink" Id="rId73" Target="11a.pdf" TargetMode="External" /><Relationship Type="http://schemas.openxmlformats.org/officeDocument/2006/relationships/hyperlink" Id="rId77" Target="12.pdf" TargetMode="External" /><Relationship Type="http://schemas.openxmlformats.org/officeDocument/2006/relationships/hyperlink" Id="rId80" Target="13.pdf" TargetMode="External" /><Relationship Type="http://schemas.openxmlformats.org/officeDocument/2006/relationships/hyperlink" Id="rId83" Target="14.pdf" TargetMode="External" /><Relationship Type="http://schemas.openxmlformats.org/officeDocument/2006/relationships/hyperlink" Id="rId86" Target="15.pdf" TargetMode="External" /><Relationship Type="http://schemas.openxmlformats.org/officeDocument/2006/relationships/hyperlink" Id="rId27" Target="1a.pdf" TargetMode="External" /><Relationship Type="http://schemas.openxmlformats.org/officeDocument/2006/relationships/hyperlink" Id="rId30" Target="2.pdf" TargetMode="External" /><Relationship Type="http://schemas.openxmlformats.org/officeDocument/2006/relationships/hyperlink" Id="rId33" Target="3.pdf" TargetMode="External" /><Relationship Type="http://schemas.openxmlformats.org/officeDocument/2006/relationships/hyperlink" Id="rId34" Target="3a.pdf" TargetMode="External" /><Relationship Type="http://schemas.openxmlformats.org/officeDocument/2006/relationships/hyperlink" Id="rId35" Target="3b.pdf" TargetMode="External" /><Relationship Type="http://schemas.openxmlformats.org/officeDocument/2006/relationships/hyperlink" Id="rId38" Target="4.pdf" TargetMode="External" /><Relationship Type="http://schemas.openxmlformats.org/officeDocument/2006/relationships/hyperlink" Id="rId39" Target="4a.pdf" TargetMode="External" /><Relationship Type="http://schemas.openxmlformats.org/officeDocument/2006/relationships/hyperlink" Id="rId43" Target="5.pdf" TargetMode="External" /><Relationship Type="http://schemas.openxmlformats.org/officeDocument/2006/relationships/hyperlink" Id="rId46" Target="6.pdf" TargetMode="External" /><Relationship Type="http://schemas.openxmlformats.org/officeDocument/2006/relationships/hyperlink" Id="rId47" Target="6a.pdf" TargetMode="External" /><Relationship Type="http://schemas.openxmlformats.org/officeDocument/2006/relationships/hyperlink" Id="rId50" Target="7.pdf" TargetMode="External" /><Relationship Type="http://schemas.openxmlformats.org/officeDocument/2006/relationships/hyperlink" Id="rId51" Target="7a.pdf" TargetMode="External" /><Relationship Type="http://schemas.openxmlformats.org/officeDocument/2006/relationships/hyperlink" Id="rId52" Target="7b.pdf" TargetMode="External" /><Relationship Type="http://schemas.openxmlformats.org/officeDocument/2006/relationships/hyperlink" Id="rId53" Target="7c.pdf" TargetMode="External" /><Relationship Type="http://schemas.openxmlformats.org/officeDocument/2006/relationships/hyperlink" Id="rId54" Target="7d.pdf" TargetMode="External" /><Relationship Type="http://schemas.openxmlformats.org/officeDocument/2006/relationships/hyperlink" Id="rId55" Target="7e.pdf" TargetMode="External" /><Relationship Type="http://schemas.openxmlformats.org/officeDocument/2006/relationships/hyperlink" Id="rId56" Target="7f.pdf" TargetMode="External" /><Relationship Type="http://schemas.openxmlformats.org/officeDocument/2006/relationships/hyperlink" Id="rId57" Target="7g.pdf" TargetMode="External" /><Relationship Type="http://schemas.openxmlformats.org/officeDocument/2006/relationships/hyperlink" Id="rId61" Target="8.pdf" TargetMode="External" /><Relationship Type="http://schemas.openxmlformats.org/officeDocument/2006/relationships/hyperlink" Id="rId65" Target="9.pdf" TargetMode="External" /><Relationship Type="http://schemas.openxmlformats.org/officeDocument/2006/relationships/hyperlink" Id="rId79" Target="http://company.stcn.com/2016/1206/12968003.shtml" TargetMode="External" /><Relationship Type="http://schemas.openxmlformats.org/officeDocument/2006/relationships/hyperlink" Id="rId85" Target="http://company.stcn.com/2016/1206/12969702.shtml" TargetMode="External" /><Relationship Type="http://schemas.openxmlformats.org/officeDocument/2006/relationships/hyperlink" Id="rId82" Target="http://company.stcn.com/2016/1207/12970152.shtml" TargetMode="External" /><Relationship Type="http://schemas.openxmlformats.org/officeDocument/2006/relationships/hyperlink" Id="rId76" Target="http://finance.sina.com.cn/roll/2016-12-07/doc-ifxyicnf1817262.shtml" TargetMode="External" /><Relationship Type="http://schemas.openxmlformats.org/officeDocument/2006/relationships/hyperlink" Id="rId49" Target="http://gss.mof.gov.cn/zhengwuxinxi/zhengcefabu/201612/t20161202_2471634.html" TargetMode="External" /><Relationship Type="http://schemas.openxmlformats.org/officeDocument/2006/relationships/hyperlink" Id="rId45" Target="http://szs.mof.gov.cn/zhengwuxinxi/zhengcefabu/201612/t20161202_2471880.html" TargetMode="External" /><Relationship Type="http://schemas.openxmlformats.org/officeDocument/2006/relationships/hyperlink" Id="rId42" Target="http://szs.mof.gov.cn/zhengwuxinxi/zhengcefabu/201612/t20161205_2472740.html" TargetMode="External" /><Relationship Type="http://schemas.openxmlformats.org/officeDocument/2006/relationships/hyperlink" Id="rId21" Target="http://www.charltonslaw.com.cn/shen-jiao-suo-fa-bu-guan-yu-xiu-gai-shen-zhen-zheng-quan-jiao-yi-suo-rong-zi-rong-quan-jiao-yi-shi-shi-xi-ze-de-tong-zhi/" TargetMode="External" /><Relationship Type="http://schemas.openxmlformats.org/officeDocument/2006/relationships/hyperlink" Id="rId71" Target="http://www.chinalawinfo.com/News/NewsFullText.aspx?NewsId=83540&amp;NewsType=1" TargetMode="External" /><Relationship Type="http://schemas.openxmlformats.org/officeDocument/2006/relationships/hyperlink" Id="rId60" Target="http://www.circ.gov.cn/web/site0/tab5176/info4051861.htm" TargetMode="External" /><Relationship Type="http://schemas.openxmlformats.org/officeDocument/2006/relationships/hyperlink" Id="rId70" Target="http://www.gov.cn/zhengce/content/2016-12/05/content_5143290.htm" TargetMode="External" /><Relationship Type="http://schemas.openxmlformats.org/officeDocument/2006/relationships/hyperlink" Id="rId64" Target="http://www.mcprc.gov.cn/whzx/bnsjdt/whscs/201612/t20161205_464422.html" TargetMode="External" /><Relationship Type="http://schemas.openxmlformats.org/officeDocument/2006/relationships/hyperlink" Id="rId67" Target="http://www.sda.gov.cn/WS01/CL0087/167053.html" TargetMode="External" /><Relationship Type="http://schemas.openxmlformats.org/officeDocument/2006/relationships/hyperlink" Id="rId37" Target="http://www.sse.com.cn/lawandrules/sserules/trading/universal/c/c_20161202_4209851.shtml" TargetMode="External" /><Relationship Type="http://schemas.openxmlformats.org/officeDocument/2006/relationships/hyperlink" Id="rId29" Target="http://www.sse.com.cn/lawandrules/sserules/trading/universal/c/c_20161202_4209852.shtml" TargetMode="External" /><Relationship Type="http://schemas.openxmlformats.org/officeDocument/2006/relationships/hyperlink" Id="rId32" Target="http://www.szse.cn/main/rule/bsywgz/39762497.shtml" TargetMode="External" /><Relationship Type="http://schemas.openxmlformats.org/officeDocument/2006/relationships/hyperlink" Id="rId25" Target="http://www.szse.cn/main/rule/bsywgz/39762498.shtml" TargetMode="External" /><Relationship Type="http://schemas.openxmlformats.org/officeDocument/2006/relationships/hyperlink" Id="rId87"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第522期 - 2016年12月09日</dc:title>
  <dc:creator/>
</cp:coreProperties>
</file>