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第523期</w:t>
      </w:r>
      <w:r>
        <w:t xml:space="preserve"> </w:t>
      </w:r>
      <w:r>
        <w:t xml:space="preserve">-</w:t>
      </w:r>
      <w:r>
        <w:t xml:space="preserve"> </w:t>
      </w:r>
      <w:r>
        <w:t xml:space="preserve">2016年12月16日</w:t>
      </w:r>
    </w:p>
    <w:p>
      <w:hyperlink r:id="rId21">
        <w:r>
          <w:rPr>
            <w:rStyle w:val="Link"/>
          </w:rPr>
          <w:t xml:space="preserve">网络版</w:t>
        </w:r>
      </w:hyperlink>
    </w:p>
    <w:p>
      <w:pPr>
        <w:pStyle w:val="Heading1"/>
      </w:pPr>
      <w:bookmarkStart w:id="22" w:name="中国结算上海证券交易所深圳证券交易所联合发布债券质押式回购交易结算风险控制指引"/>
      <w:bookmarkEnd w:id="22"/>
      <w:r>
        <w:t xml:space="preserve">中国结算、上海证券交易所、深圳证券交易所联合发布债券质押式回购交易结算风险控制指引</w:t>
      </w:r>
    </w:p>
    <w:p>
      <w:pPr>
        <w:pStyle w:val="Heading2"/>
      </w:pPr>
      <w:bookmarkStart w:id="23" w:name="资本市场"/>
      <w:bookmarkEnd w:id="23"/>
      <w:r>
        <w:t xml:space="preserve">资本市场</w:t>
      </w:r>
    </w:p>
    <w:p>
      <w:pPr>
        <w:pStyle w:val="Heading3"/>
      </w:pPr>
      <w:bookmarkStart w:id="24" w:name="中国结算上海证券交易所深圳证券交易所联合发布债券质押式回购交易结算风险控制指引-1"/>
      <w:bookmarkEnd w:id="24"/>
      <w:r>
        <w:t xml:space="preserve">中国结算、上海证券交易所、深圳证券交易所联合发布债券质押式回购交易结算风险控制指引</w:t>
      </w:r>
    </w:p>
    <w:p>
      <w:r>
        <w:t xml:space="preserve">为促进交易所债券市场长期健康发展，进一步完善交易所市场债券质押式回购风险管理，中国结算近日会同上海证券交易所、深圳证券交易所，发布实施了《中国证券登记结算有限责任公司、上海证券交易所、深圳证券交易所债券质押式回购交易结算风险控制指引》（以下简称《风控指引》）。</w:t>
      </w:r>
    </w:p>
    <w:p>
      <w:r>
        <w:t xml:space="preserve">《风控指引》旨在引导参与债券质押式回购的证券公司、托管银行等参与机构加强对投资者的风险管理，进一步明确了投资者准入和标准券使用率、回购杠杆、入库集中度等风控指标要求，构建从投资者、参与机构到交易、结算机构全方位、立体有效的债券回购风险管理体系，确保交易所债券市场长期健康发展。</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证成指中小板指创业板指深证100等指数调整样本股"/>
      <w:bookmarkEnd w:id="27"/>
      <w:r>
        <w:t xml:space="preserve">深证成指、中小板指、创业板指、深证100等指数调整样本股</w:t>
      </w:r>
    </w:p>
    <w:p>
      <w:r>
        <w:t xml:space="preserve">深圳证券交易所和深圳证券信息有限公司日前宣布，根据指数编制规则，对深证成份指数、中小板指数、创业板指数、深证100指数等深证系列指数实施样本股定期调整。同时，深圳证券信息有限公司宣布对国证1000指数等跨市场指数实施样本股定期调整。本次样本股调整将于 2017 年 1 月第一个交易日正式实施。</w:t>
      </w:r>
    </w:p>
    <w:p>
      <w:r>
        <w:t xml:space="preserve">经过本次调整，深证成份指数对于深圳A股市场的总市值覆盖率和自由流通市值覆盖率分别达到53%和56%。深证成份指数中主板、中小板、创业板样本股在指数中的数量为156只、227只和117只，权重分别为43%、38%和18%，更加贴近深圳市场的实际板块分布。</w:t>
      </w:r>
    </w:p>
    <w:p>
      <w:r>
        <w:t xml:space="preserve">数据显示，本次样本股调整后，深市核心指数的产业分布和行业结构进一步凸显深圳市场服务新兴产业和新经济的战略定位。深证成份指数中属于国家战略新兴产业的样本股数量有228只，权重达到46%；中小板指数中有47只，权重达到49%；创业板指数中有75只，权重更是高达79%。同时，信息技术继续成为深证成份指数的第一大权重行业，占23%；其次是可选消费，占17%；第三位是金融地产，占14%。创业板指数中信息技术权重达到49%，信息技术、医药卫生、可选消费、主要消费、电信业务等新兴行业的合计权重接近80%。</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涉案保荐机构在审项目原则上不停审"/>
      <w:bookmarkEnd w:id="30"/>
      <w:r>
        <w:t xml:space="preserve">证监会：涉案保荐机构在审项目原则上不停审</w:t>
      </w:r>
    </w:p>
    <w:p>
      <w:r>
        <w:t xml:space="preserve">中国证监会近日对《关于首次公开发行股票中止审查的情形》和《在审首发企业中介机构被行政处罚、更换等的处理》两项发行监管问答进行了修订，修订内容包括对于涉案的中介机构，已经受理的项目原则上不停止审核，以及在审企业更换保荐机构不再重新排队等等。</w:t>
      </w:r>
    </w:p>
    <w:p>
      <w:r>
        <w:t xml:space="preserve">在修订之前，保荐机构因涉嫌违法违规被行政机关调查，或者被司法机关侦查，尚未结案的，中止审查；在审首发企业，更换保荐机构的，一律需要重新履行申报程序。但是，修订之后，对于涉案保荐机构承做的在审项目，如已受理原则上不停止审核。另外，除了发行人不配合或主动终止保荐协议的情形外，在审企业更换保荐机构的，不再重新排队，但应由新的保荐机构独立出具新的保荐意见。</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深圳证券交易所香港子公司与香港四家证券及基金协会分别签署谅解备忘录"/>
      <w:bookmarkEnd w:id="33"/>
      <w:r>
        <w:t xml:space="preserve">深圳证券交易所香港子公司与香港四家证券及基金协会分别签署谅解备忘录</w:t>
      </w:r>
    </w:p>
    <w:p>
      <w:r>
        <w:t xml:space="preserve">深交所香港子公司中国创盈市场服务有限公司近日与香港中资证券业协会、香港投资基金公会、香港证券业协会、香港证券及投资学会四家协会分别签署谅解备忘录。</w:t>
      </w:r>
    </w:p>
    <w:p>
      <w:r>
        <w:t xml:space="preserve">根据谅解备忘录，签约双方拟围绕深港通及深交所市场举行推介和培训活动，建立信息资讯共享机制，就深港资本市场合作课题开展联合研究。中国创盈市场服务有限公司成立于2016年9月，是深圳证券交易所在香港注册的全资子公司，也是深交所在境外设立的第一家机构。中国创盈将履行“深港通”相关职责，开展“深港通”市场推广活动，搭建有效沟通平台与联络机制，便利境外投资者深度参与深交所市场。</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上交所颁布行业信息披露指引"/>
      <w:bookmarkEnd w:id="36"/>
      <w:r>
        <w:t xml:space="preserve">上交所颁布行业信息披露指引</w:t>
      </w:r>
    </w:p>
    <w:p>
      <w:r>
        <w:t xml:space="preserve">为引导上市公司披露行业经营性信息，提高信息披露有效性，上交所对外发布第十四号至第二十号上市公司行业信息披露指引，涉及酒业、广电传输、环保服务、水生产供应、化工、航空运输、农林牧渔7个行业，指引自2017年1月1日起施行。这是继去年发布两批13项行业信息披露指引后，上交所在持续深化分行业监管、动态完善分行业信披规则体系方面的又一重大举措。</w:t>
      </w:r>
    </w:p>
    <w:p>
      <w:r>
        <w:t xml:space="preserve">本次发布的7项指引，紧扣以下行业核心指标：行业宏观影响、客户市场发展、关键资源现状、盈利战略规划、关键流程执行这五个方面。例如，在关键资源现状方面，农林牧渔业指引明确要求公司披露与生产经营相关的重要资源所有权与具体情况，而酒业指引则规范了上市公司关于品牌结构及销售渠道信息的披露。</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人民币新增7种直接交易货币"/>
      <w:bookmarkEnd w:id="39"/>
      <w:r>
        <w:t xml:space="preserve">人民币新增7种直接交易货币</w:t>
      </w:r>
    </w:p>
    <w:p>
      <w:r>
        <w:t xml:space="preserve">中国外汇交易中心公告，经中国央行授权，自2016年12月12日起银行间外汇市场开展人民币对匈牙利福林、丹麦克朗、波兰兹罗提、墨西哥比索、瑞典克朗、土耳其里拉、挪威克朗直接交易。</w:t>
      </w:r>
    </w:p>
    <w:p>
      <w:r>
        <w:t xml:space="preserve">中国外汇交易中心表示，在银行间外汇市场开展人民币对瑞典克朗等七种货币即期、远期和掉期询价交易。具备银行间人民币外汇市场会员资格的机构均可在银行间外汇市场开展人民币对这七种货币的直接交易。</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央行宏观审慎管理境内企业人民币境外放款"/>
      <w:bookmarkEnd w:id="42"/>
      <w:r>
        <w:t xml:space="preserve">央行：宏观审慎管理境内企业人民币境外放款</w:t>
      </w:r>
    </w:p>
    <w:p>
      <w:r>
        <w:t xml:space="preserve">中国人民银行近日发布《关于进一步明确境内企业人民币境外放款业务有关事项的通知》（以下简称《通知》），该文件就境内企业人民币境外放款业务流程和有关政策事项进行了通知。</w:t>
      </w:r>
    </w:p>
    <w:p>
      <w:r>
        <w:t xml:space="preserve">《通知》对放款人、经办行、借款人均进行了较之前更为细化规定。其中，经办行应要求放款人在办理人民币境外放款业务前在所在地外汇管理部门进行登记。经办行需严格审核境外借款人的经营规模是否与借款规模相适应，以及境外借款资金的实际用途，确保境外放款用途的真实性和合理性。</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税收"/>
      <w:bookmarkEnd w:id="45"/>
      <w:r>
        <w:t xml:space="preserve">税收</w:t>
      </w:r>
    </w:p>
    <w:p>
      <w:pPr>
        <w:pStyle w:val="Heading3"/>
      </w:pPr>
      <w:bookmarkStart w:id="46" w:name="发改委明确不动产登记收费标准"/>
      <w:bookmarkEnd w:id="46"/>
      <w:r>
        <w:t xml:space="preserve">发改委明确不动产登记收费标准</w:t>
      </w:r>
    </w:p>
    <w:p>
      <w:r>
        <w:t xml:space="preserve">近日，国家发展改革委会同财政部印发《关于不动产登记收费标准等有关问题的通知》(以下简称《通知》)，明确不动产登记收费标准及收费优惠减免政策，规范不动产登记收费行为，保护不动产权利人合法权益。</w:t>
      </w:r>
    </w:p>
    <w:p>
      <w:r>
        <w:t xml:space="preserve">《通知》明确，将现行房屋及其建设用地分别登记、两次收取登记费，统一整合为一次登记、只收取一次登记费。廉租住房、公共租赁住房、经济适用住房所有权及其建设用地使用权办理不动产登记，实行零费率。住宅类不动产登记收费标准为每件80元，非住宅类不动产登记收费标准为每件550元。按规定核发一本不动产权属证书的，不收取证书工本费。</w:t>
      </w:r>
    </w:p>
    <w:p>
      <w:hyperlink r:id="rId47">
        <w:r>
          <w:rPr>
            <w:rStyle w:val="Link"/>
          </w:rPr>
          <w:t xml:space="preserve">来源</w:t>
        </w:r>
      </w:hyperlink>
      <w:r>
        <w:t xml:space="preserve"> </w:t>
      </w:r>
      <w:hyperlink r:id="rId48">
        <w:r>
          <w:rPr>
            <w:rStyle w:val="Link"/>
          </w:rPr>
          <w:t xml:space="preserve">来源</w:t>
        </w:r>
      </w:hyperlink>
      <w:r>
        <w:t xml:space="preserve"> </w:t>
      </w:r>
      <w:r>
        <w:t xml:space="preserve">(</w:t>
      </w:r>
      <w:hyperlink r:id="rId49">
        <w:r>
          <w:rPr>
            <w:rStyle w:val="Link"/>
          </w:rPr>
          <w:t xml:space="preserve">副本</w:t>
        </w:r>
      </w:hyperlink>
      <w:r>
        <w:t xml:space="preserve">) (</w:t>
      </w:r>
      <w:hyperlink r:id="rId50">
        <w:r>
          <w:rPr>
            <w:rStyle w:val="Link"/>
          </w:rPr>
          <w:t xml:space="preserve">副本</w:t>
        </w:r>
      </w:hyperlink>
      <w:r>
        <w:t xml:space="preserve">)</w:t>
      </w:r>
    </w:p>
    <w:p>
      <w:pPr>
        <w:pStyle w:val="Heading2"/>
      </w:pPr>
      <w:bookmarkStart w:id="51" w:name="保险"/>
      <w:bookmarkEnd w:id="51"/>
      <w:r>
        <w:t xml:space="preserve">保险</w:t>
      </w:r>
    </w:p>
    <w:p>
      <w:pPr>
        <w:pStyle w:val="Heading3"/>
      </w:pPr>
      <w:bookmarkStart w:id="52" w:name="保监会拟规范万能险"/>
      <w:bookmarkEnd w:id="52"/>
      <w:r>
        <w:t xml:space="preserve">保监会拟规范万能险</w:t>
      </w:r>
    </w:p>
    <w:p>
      <w:r>
        <w:t xml:space="preserve">2016年12月13日，保监会紧急召集各保监局、各保险公司和保险资产管理公司负责人在北京开会，强调防范万能险风险、加强保险资金运用监管等。在此次保监会召开的专题会议上，作为险资举牌上市公司的一个重要资金来源，万能险仍成为了监管讨论的一个主要内容。</w:t>
      </w:r>
    </w:p>
    <w:p>
      <w:r>
        <w:t xml:space="preserve">针对万能险监管，保监会提出了一些举措，以推动万能险规范有序发展，其中包括要加强制度约束，进一步改造万能险业务规则,以及对按规定需要审批的产品坚持更加严格审慎的原则,同时，加大对备案产品的抽查力度，完善产品退出机制。另外，保监会还对保险资金运用、落实相关责任等方面进行了规范。保监会表示，对于资金运用，投资标的应当以固定收益类产品为主，而股权投资应当以财务投资为主。</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wto"/>
      <w:bookmarkEnd w:id="55"/>
      <w:r>
        <w:t xml:space="preserve">WTO</w:t>
      </w:r>
    </w:p>
    <w:p>
      <w:pPr>
        <w:pStyle w:val="Heading3"/>
      </w:pPr>
      <w:bookmarkStart w:id="56" w:name="中国在世贸组织起诉美国欧盟反倾销替代国做法"/>
      <w:bookmarkEnd w:id="56"/>
      <w:r>
        <w:t xml:space="preserve">中国在世贸组织起诉美国欧盟反倾销“替代国”做法</w:t>
      </w:r>
    </w:p>
    <w:p>
      <w:r>
        <w:t xml:space="preserve">2016年12月12日，中国就美国、欧盟对华反倾销“替代国”做法，提出世贸组织争端解决机制下的磋商请求，正式启动世贸组织争端解决程序。</w:t>
      </w:r>
    </w:p>
    <w:p>
      <w:r>
        <w:t xml:space="preserve">《中国加入世贸组织议定书》第15条允许其他世贸组织成员在对华反倾销调查中使“替代国”做法，但明确要求在中国加入世贸组织15年后，即2016年12月11日终止。随着15年期限的到来，其他世贸组织成员应立即停止依据《中国加入世贸组织议定书》第15条在对华反倾销调查中使用“替代国”做法，这是所有世贸组织成员必须履行的国际义务。但令人遗憾的是，美国、欧盟迄今没有履行义务。美国、欧盟使用“替代国”做法对中国相关行业出口和就业造成了严重影响。</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知识产权"/>
      <w:bookmarkEnd w:id="59"/>
      <w:r>
        <w:t xml:space="preserve">知识产权</w:t>
      </w:r>
    </w:p>
    <w:p>
      <w:pPr>
        <w:pStyle w:val="Heading3"/>
      </w:pPr>
      <w:bookmarkStart w:id="60" w:name="最高法院公开宣判乔丹商标争议行政纠纷案件"/>
      <w:bookmarkEnd w:id="60"/>
      <w:r>
        <w:t xml:space="preserve">最高法院公开宣判“乔丹”商标争议行政纠纷案件</w:t>
      </w:r>
    </w:p>
    <w:p>
      <w:r>
        <w:t xml:space="preserve">近日，最高人民法院对再审申请人迈克尔·乔丹与被申请人国家工商行政管理总局商标评审委员会、一审第三人乔丹体育股份有限公司（以下简称“乔丹公司”）商标争议行政纠纷进行公开宣判。</w:t>
      </w:r>
    </w:p>
    <w:p>
      <w:r>
        <w:t xml:space="preserve">最高人民法院明确了主张姓名权保护的标准和条件，依法认定争议商标的注册损害了再审申请人对“乔丹”享有的在先姓名权。故认定乔丹公司的“乔丹”商标应予撤销，判令商标评审委员会重新作出裁定。但是，最高人民法院依法认定再审申请人对拼音“QIAODAN” “qiaodan”不享有姓名权，驳回了再审申请人的再审请求。</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行业"/>
      <w:bookmarkEnd w:id="63"/>
      <w:r>
        <w:t xml:space="preserve">行业</w:t>
      </w:r>
    </w:p>
    <w:p>
      <w:pPr>
        <w:pStyle w:val="Heading3"/>
      </w:pPr>
      <w:bookmarkStart w:id="64" w:name="国务院办公厅印发湿地保护修复制度方案"/>
      <w:bookmarkEnd w:id="64"/>
      <w:r>
        <w:t xml:space="preserve">国务院办公厅印发《湿地保护修复制度方案》</w:t>
      </w:r>
    </w:p>
    <w:p>
      <w:r>
        <w:t xml:space="preserve">近日，国务院办公厅印发《湿地保护修复制度方案》(以下简称《方案》)，对新形势下湿地保护修复作出部署安排。</w:t>
      </w:r>
    </w:p>
    <w:p>
      <w:r>
        <w:t xml:space="preserve">《方案》指出，要实行湿地面积总量管控，到2020年，全国湿地面积不低于8亿亩，其中，自然湿地面积不低于7亿亩，新增湿地面积300万亩，湿地保护率提高到50%以上。严格湿地用途监管，确保湿地面积不减少，增强湿地生态功能，维护湿地生物多样性，全面提升湿地保护与修复水平。《方案》明确了拟建立完善的一系列湿地保护修复制度。</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并购"/>
      <w:bookmarkEnd w:id="67"/>
      <w:r>
        <w:t xml:space="preserve">并购</w:t>
      </w:r>
    </w:p>
    <w:p>
      <w:pPr>
        <w:pStyle w:val="Heading3"/>
      </w:pPr>
      <w:bookmarkStart w:id="68" w:name="国创高新拟收购深圳云房网络"/>
      <w:bookmarkEnd w:id="68"/>
      <w:r>
        <w:t xml:space="preserve">国创高新拟收购深圳云房网络</w:t>
      </w:r>
    </w:p>
    <w:p>
      <w:r>
        <w:t xml:space="preserve">停牌近5个月的湖北国创高新材料股份有限公司（以下简称“国创高新”）在重组进展公告中透露，将进军房地产互联网平台。公司拟通过发行股份及支付现金的方式购买深圳市云房网络科技有限公司（以下简称“深圳云房”）100%股权，同时募集配套资金。</w:t>
      </w:r>
    </w:p>
    <w:p>
      <w:r>
        <w:t xml:space="preserve">国创高新表示，因深圳云房股东较多，重组工作复杂，同时募集配套资金金额较大，相关工作所需时间较长。国创高新表示，公司股票争取于明年1月17日前复牌，若届时仍未能披露重大资产重组预案或报告书，公司将终止本次重组，并至少两个月内不再筹划重大资产重组。</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中国日报网与亿航无人机在京签署战略合作协议"/>
      <w:bookmarkEnd w:id="71"/>
      <w:r>
        <w:t xml:space="preserve">中国日报网与“亿航无人机”在京签署战略合作协议</w:t>
      </w:r>
    </w:p>
    <w:p>
      <w:r>
        <w:t xml:space="preserve">中国日报网与亿航智能技术有限公司近日在京签署了战略合作协议，双方表示，未来将在新闻报道领域的无人机设备装置及飞行服务应用等方面建立战略合作伙伴关系，积极探索新闻报道的新技术、新形态，通过跨界合作，优势互补，打造科技与媒体融合的新亮点。</w:t>
      </w:r>
    </w:p>
    <w:p>
      <w:r>
        <w:t xml:space="preserve">亿航智能技术有限公司是全球领先的智能飞行器科技公司, 其研发的GHOST DRONE 2.0产品已销往全球70多个国家。亿航智能技术有限公司总监李智源表示,战略合作可以为一线新闻工作者提供简单上手、安全可靠、拥有多种智能飞行模式的航拍纪实工具，丰富新闻报道的形式和视角，还原真实的新闻现场。</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长城影视拟以18.95亿收购首映时代和德纳影业"/>
      <w:bookmarkEnd w:id="74"/>
      <w:r>
        <w:t xml:space="preserve">长城影视拟以18.95亿收购首映时代和德纳影业</w:t>
      </w:r>
    </w:p>
    <w:p>
      <w:r>
        <w:t xml:space="preserve">长城影视股份有限公司（以下简称“长城影视”）于2016年12月14日披露重组方案，拟以发行股份及支付现金的方式，收购北京首映时代文化传媒有限责任公司（以下简称“首映时代”）和浙江德纳影业股份有限公司（以下简称“德纳影业”）各100%股权，二者交易价格分别暂定为13.5亿元和5.45亿元。</w:t>
      </w:r>
    </w:p>
    <w:p>
      <w:r>
        <w:t xml:space="preserve">根据方案，长城影视拟以12.3元/股的价格向首映时代各交易对方总计发行8782.52万股，另现金支付剩余的约2.7亿元, 长城影视拟以同样的价格向德纳影业各交易对方总计发行2215.45万股，剩余约2.73亿元以现金支付。对于此次交易，长城影视表示，公司将发挥其在主创资源、电视剧制作、发行渠道和广告资源的优势，全力打造大电影产业链。</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第523期 - 2016年12月16日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794ae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9" Target="8.pdf" TargetMode="External" /><Relationship Type="http://schemas.openxmlformats.org/officeDocument/2006/relationships/hyperlink" Id="rId50" Target="8a.pdf" TargetMode="External" /><Relationship Type="http://schemas.openxmlformats.org/officeDocument/2006/relationships/hyperlink" Id="rId54" Target="9.pdf" TargetMode="External" /><Relationship Type="http://schemas.openxmlformats.org/officeDocument/2006/relationships/hyperlink" Id="rId72" Target="http://caijing.chinadaily.com.cn/2016-12/07/content_27602944.htm" TargetMode="External" /><Relationship Type="http://schemas.openxmlformats.org/officeDocument/2006/relationships/hyperlink" Id="rId57" Target="http://caijing.chinadaily.com.cn/2016-12/12/content_27653885.htm" TargetMode="External" /><Relationship Type="http://schemas.openxmlformats.org/officeDocument/2006/relationships/hyperlink" Id="rId69" Target="http://company.stcn.com/2016/1213/12976455.shtml" TargetMode="External" /><Relationship Type="http://schemas.openxmlformats.org/officeDocument/2006/relationships/hyperlink" Id="rId53" Target="http://finance.ifeng.com/a/20161214/15076760_0.shtml" TargetMode="External" /><Relationship Type="http://schemas.openxmlformats.org/officeDocument/2006/relationships/hyperlink" Id="rId43" Target="http://finance.sina.com.cn/china/2016-12-01/doc-ifxyiayq1978888.shtml" TargetMode="External" /><Relationship Type="http://schemas.openxmlformats.org/officeDocument/2006/relationships/hyperlink" Id="rId40" Target="http://finance.sina.com.cn/roll/2016-12-10/doc-ifxypizk0120687.shtml" TargetMode="External" /><Relationship Type="http://schemas.openxmlformats.org/officeDocument/2006/relationships/hyperlink" Id="rId75" Target="http://news.cnstock.com/paper,2016-12-14,756471.htm" TargetMode="External" /><Relationship Type="http://schemas.openxmlformats.org/officeDocument/2006/relationships/hyperlink" Id="rId65" Target="http://news.xinhuanet.com/politics/2016-12/12/c_1120102686.htm" TargetMode="External" /><Relationship Type="http://schemas.openxmlformats.org/officeDocument/2006/relationships/hyperlink" Id="rId21" Target="http://www.charltonslaw.com.cn/china-news-alerts-cn-issue-523/" TargetMode="External" /><Relationship Type="http://schemas.openxmlformats.org/officeDocument/2006/relationships/hyperlink" Id="rId61" Target="http://www.chinacourt.org/article/detail/2016/12/id/2367247.shtml" TargetMode="External" /><Relationship Type="http://schemas.openxmlformats.org/officeDocument/2006/relationships/hyperlink" Id="rId31" Target="http://www.chinalawinfo.com/News/NewsFullText.aspx?NewsId=83618&amp;NewsType=1" TargetMode="External" /><Relationship Type="http://schemas.openxmlformats.org/officeDocument/2006/relationships/hyperlink" Id="rId47" Target="http://www.legaldaily.com.cn/index_article/content/2016-12/12/content_6913171.htm?node=5955" TargetMode="External" /><Relationship Type="http://schemas.openxmlformats.org/officeDocument/2006/relationships/hyperlink" Id="rId48" Target="http://www.mof.gov.cn/zhengwuxinxi/zhengcefabu/201612/t20161213_2480337.htm" TargetMode="External" /><Relationship Type="http://schemas.openxmlformats.org/officeDocument/2006/relationships/hyperlink" Id="rId37" Target="http://www.sse.com.cn/aboutus/mediacenter/hotandd/c/c_20161202_4209904.shtml" TargetMode="External" /><Relationship Type="http://schemas.openxmlformats.org/officeDocument/2006/relationships/hyperlink" Id="rId25" Target="http://www.sse.com.cn/aboutus/mediacenter/hotandd/c/c_20161209_4213044.shtml" TargetMode="External" /><Relationship Type="http://schemas.openxmlformats.org/officeDocument/2006/relationships/hyperlink" Id="rId34" Target="http://www.szse.cn/main/aboutus/bsyw/39762647.shtml" TargetMode="External" /><Relationship Type="http://schemas.openxmlformats.org/officeDocument/2006/relationships/hyperlink" Id="rId28" Target="http://www.szse.cn/main/aboutus/bsyw/39762687.shtml"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9" Target="8.pdf" TargetMode="External" /><Relationship Type="http://schemas.openxmlformats.org/officeDocument/2006/relationships/hyperlink" Id="rId50" Target="8a.pdf" TargetMode="External" /><Relationship Type="http://schemas.openxmlformats.org/officeDocument/2006/relationships/hyperlink" Id="rId54" Target="9.pdf" TargetMode="External" /><Relationship Type="http://schemas.openxmlformats.org/officeDocument/2006/relationships/hyperlink" Id="rId72" Target="http://caijing.chinadaily.com.cn/2016-12/07/content_27602944.htm" TargetMode="External" /><Relationship Type="http://schemas.openxmlformats.org/officeDocument/2006/relationships/hyperlink" Id="rId57" Target="http://caijing.chinadaily.com.cn/2016-12/12/content_27653885.htm" TargetMode="External" /><Relationship Type="http://schemas.openxmlformats.org/officeDocument/2006/relationships/hyperlink" Id="rId69" Target="http://company.stcn.com/2016/1213/12976455.shtml" TargetMode="External" /><Relationship Type="http://schemas.openxmlformats.org/officeDocument/2006/relationships/hyperlink" Id="rId53" Target="http://finance.ifeng.com/a/20161214/15076760_0.shtml" TargetMode="External" /><Relationship Type="http://schemas.openxmlformats.org/officeDocument/2006/relationships/hyperlink" Id="rId43" Target="http://finance.sina.com.cn/china/2016-12-01/doc-ifxyiayq1978888.shtml" TargetMode="External" /><Relationship Type="http://schemas.openxmlformats.org/officeDocument/2006/relationships/hyperlink" Id="rId40" Target="http://finance.sina.com.cn/roll/2016-12-10/doc-ifxypizk0120687.shtml" TargetMode="External" /><Relationship Type="http://schemas.openxmlformats.org/officeDocument/2006/relationships/hyperlink" Id="rId75" Target="http://news.cnstock.com/paper,2016-12-14,756471.htm" TargetMode="External" /><Relationship Type="http://schemas.openxmlformats.org/officeDocument/2006/relationships/hyperlink" Id="rId65" Target="http://news.xinhuanet.com/politics/2016-12/12/c_1120102686.htm" TargetMode="External" /><Relationship Type="http://schemas.openxmlformats.org/officeDocument/2006/relationships/hyperlink" Id="rId21" Target="http://www.charltonslaw.com.cn/china-news-alerts-cn-issue-523/" TargetMode="External" /><Relationship Type="http://schemas.openxmlformats.org/officeDocument/2006/relationships/hyperlink" Id="rId61" Target="http://www.chinacourt.org/article/detail/2016/12/id/2367247.shtml" TargetMode="External" /><Relationship Type="http://schemas.openxmlformats.org/officeDocument/2006/relationships/hyperlink" Id="rId31" Target="http://www.chinalawinfo.com/News/NewsFullText.aspx?NewsId=83618&amp;NewsType=1" TargetMode="External" /><Relationship Type="http://schemas.openxmlformats.org/officeDocument/2006/relationships/hyperlink" Id="rId47" Target="http://www.legaldaily.com.cn/index_article/content/2016-12/12/content_6913171.htm?node=5955" TargetMode="External" /><Relationship Type="http://schemas.openxmlformats.org/officeDocument/2006/relationships/hyperlink" Id="rId48" Target="http://www.mof.gov.cn/zhengwuxinxi/zhengcefabu/201612/t20161213_2480337.htm" TargetMode="External" /><Relationship Type="http://schemas.openxmlformats.org/officeDocument/2006/relationships/hyperlink" Id="rId37" Target="http://www.sse.com.cn/aboutus/mediacenter/hotandd/c/c_20161202_4209904.shtml" TargetMode="External" /><Relationship Type="http://schemas.openxmlformats.org/officeDocument/2006/relationships/hyperlink" Id="rId25" Target="http://www.sse.com.cn/aboutus/mediacenter/hotandd/c/c_20161209_4213044.shtml" TargetMode="External" /><Relationship Type="http://schemas.openxmlformats.org/officeDocument/2006/relationships/hyperlink" Id="rId34" Target="http://www.szse.cn/main/aboutus/bsyw/39762647.shtml" TargetMode="External" /><Relationship Type="http://schemas.openxmlformats.org/officeDocument/2006/relationships/hyperlink" Id="rId28" Target="http://www.szse.cn/main/aboutus/bsyw/39762687.shtml"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第523期 - 2016年12月16日</dc:title>
  <dc:creator/>
</cp:coreProperties>
</file>