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易周律师行</w:t>
      </w:r>
      <w:r>
        <w:t xml:space="preserve"> </w:t>
      </w:r>
      <w:r>
        <w:t xml:space="preserve">-</w:t>
      </w:r>
      <w:r>
        <w:t xml:space="preserve"> </w:t>
      </w:r>
      <w:r>
        <w:t xml:space="preserve">法讯</w:t>
      </w:r>
      <w:r>
        <w:t xml:space="preserve"> </w:t>
      </w:r>
      <w:r>
        <w:t xml:space="preserve">-</w:t>
      </w:r>
      <w:r>
        <w:t xml:space="preserve"> </w:t>
      </w:r>
      <w:r>
        <w:t xml:space="preserve">中国</w:t>
      </w:r>
      <w:r>
        <w:t xml:space="preserve"> </w:t>
      </w:r>
      <w:r>
        <w:t xml:space="preserve">-</w:t>
      </w:r>
      <w:r>
        <w:t xml:space="preserve"> </w:t>
      </w:r>
      <w:r>
        <w:t xml:space="preserve">第525期</w:t>
      </w:r>
      <w:r>
        <w:t xml:space="preserve"> </w:t>
      </w:r>
      <w:r>
        <w:t xml:space="preserve">-</w:t>
      </w:r>
      <w:r>
        <w:t xml:space="preserve"> </w:t>
      </w:r>
      <w:r>
        <w:t xml:space="preserve">2016年12月30日</w:t>
      </w:r>
    </w:p>
    <w:p>
      <w:hyperlink r:id="rId21">
        <w:r>
          <w:rPr>
            <w:rStyle w:val="Link"/>
          </w:rPr>
          <w:t xml:space="preserve">网络版</w:t>
        </w:r>
      </w:hyperlink>
    </w:p>
    <w:p>
      <w:pPr>
        <w:pStyle w:val="Heading1"/>
      </w:pPr>
      <w:bookmarkStart w:id="22" w:name="国家发改委中国证监会-积极支持ppp项目资产证券化"/>
      <w:bookmarkEnd w:id="22"/>
      <w:r>
        <w:t xml:space="preserve">国家发改委、中国证监会: 积极支持PPP项目资产证券化</w:t>
      </w:r>
    </w:p>
    <w:p>
      <w:pPr>
        <w:pStyle w:val="Heading2"/>
      </w:pPr>
      <w:bookmarkStart w:id="23" w:name="资本市场"/>
      <w:bookmarkEnd w:id="23"/>
      <w:r>
        <w:t xml:space="preserve">资本市场</w:t>
      </w:r>
    </w:p>
    <w:p>
      <w:pPr>
        <w:pStyle w:val="Heading3"/>
      </w:pPr>
      <w:bookmarkStart w:id="24" w:name="国家发改委中国证监会-积极支持ppp项目资产证券化-1"/>
      <w:bookmarkEnd w:id="24"/>
      <w:r>
        <w:t xml:space="preserve">国家发改委、中国证监会: 积极支持PPP项目资产证券化</w:t>
      </w:r>
    </w:p>
    <w:p>
      <w:r>
        <w:t xml:space="preserve">国家发改委、中国证监会联合印发《关于推进传统基础设施领域政府和社会资本合作（PPP）项目资产证券化相关工作的通知》(以下简称《通知》)，以推动PPP项目资产证券化融资。</w:t>
      </w:r>
    </w:p>
    <w:p>
      <w:r>
        <w:t xml:space="preserve">证监会表示，证券监管部门及自律组织将积极支持PPP项目资产证券化。发改委与证监会将积极引入城镇化建设基金、基础设施投资基金、产业投资基金、不动产基金以及证券投资基金、证券资产管理产品等各类市场资金参与PPP资产证券化产品，建立多元化、可持续的资金支持机制。《通知》中指出，在审核方面，沪深交易所、中国证券投资基金业协会负责对申报的PPP项目资产证券化产品进行审核、备案和持续监管，同时，须建立专门的业务受理、审核及备案“绿色通道”，专人专岗负责，以提高对国家发改委优选的PPP项目资产证券化产品的审核、挂牌和备案的工作效率。</w:t>
      </w:r>
    </w:p>
    <w:p>
      <w:hyperlink r:id="rId25">
        <w:r>
          <w:rPr>
            <w:rStyle w:val="Link"/>
          </w:rPr>
          <w:t xml:space="preserve">来源</w:t>
        </w:r>
      </w:hyperlink>
      <w:r>
        <w:t xml:space="preserve"> </w:t>
      </w:r>
      <w:r>
        <w:t xml:space="preserve">(</w:t>
      </w:r>
      <w:hyperlink r:id="rId26">
        <w:r>
          <w:rPr>
            <w:rStyle w:val="Link"/>
          </w:rPr>
          <w:t xml:space="preserve">副本</w:t>
        </w:r>
      </w:hyperlink>
      <w:r>
        <w:t xml:space="preserve">)</w:t>
      </w:r>
    </w:p>
    <w:p>
      <w:pPr>
        <w:pStyle w:val="Heading3"/>
      </w:pPr>
      <w:bookmarkStart w:id="27" w:name="交易商协会发布非金融企业资产支持票据指引修订稿"/>
      <w:bookmarkEnd w:id="27"/>
      <w:r>
        <w:t xml:space="preserve">交易商协会发布《非金融企业资产支持票据指引（修订稿）》</w:t>
      </w:r>
    </w:p>
    <w:p>
      <w:r>
        <w:t xml:space="preserve">为积极发挥资产支持票据在“去产能、去库存、去杠杆、降成本、补短板”五大任务中的积极作用，助力降低实体经济企业成本和杠杆率，在中国人民银行的指导下，中国银行间市场交易商协会组织市场成员起草了《非金融企业资产支持票据指引（修订稿）》（以下简称《指引（修订稿）》），并制定了《非金融企业资产支持票据公开发行注册文件表格体系》（以下简称《表格体系》）。</w:t>
      </w:r>
    </w:p>
    <w:p>
      <w:r>
        <w:t xml:space="preserve">《指引（修订稿）》重点对资产支持票据的资产类型、交易结构、风险隔离、信息披露、参与各方权利义务、投资人保护机制等进行了规范：一是引入特定目的载体（SPV），同时保留既有操作模式。二是明确参与机构职责。三是丰富合格基础资产类型。四是强化风险防范和投资人保护的要求。五是明确信息披露要求，提升业务操作性。而此次修订配套制定的《表格体系》，对注册要件、基础资产、交易结构及参与主体情况以及现金流归集与管理机制等作出针对性信息披露要求，搭建了“指引+配套业务细则”的制度体系，力争指引修订兼具现实性、前瞻性、包容性和可操作性。</w:t>
      </w:r>
    </w:p>
    <w:p>
      <w:hyperlink r:id="rId28">
        <w:r>
          <w:rPr>
            <w:rStyle w:val="Link"/>
          </w:rPr>
          <w:t xml:space="preserve">来源</w:t>
        </w:r>
      </w:hyperlink>
      <w:r>
        <w:t xml:space="preserve"> </w:t>
      </w:r>
      <w:r>
        <w:t xml:space="preserve">(</w:t>
      </w:r>
      <w:hyperlink r:id="rId29">
        <w:r>
          <w:rPr>
            <w:rStyle w:val="Link"/>
          </w:rPr>
          <w:t xml:space="preserve">副本</w:t>
        </w:r>
      </w:hyperlink>
      <w:r>
        <w:t xml:space="preserve">)</w:t>
      </w:r>
    </w:p>
    <w:p>
      <w:pPr>
        <w:pStyle w:val="Heading3"/>
      </w:pPr>
      <w:bookmarkStart w:id="30" w:name="上海证券交易所与莫斯科交易所在沪举办2016俄罗斯资本市场论坛"/>
      <w:bookmarkEnd w:id="30"/>
      <w:r>
        <w:t xml:space="preserve">上海证券交易所与莫斯科交易所在沪举办2016俄罗斯资本市场论坛</w:t>
      </w:r>
    </w:p>
    <w:p>
      <w:r>
        <w:t xml:space="preserve">由上海证券交易所和莫斯科交易所共同举办的“2016俄罗斯资本市场论坛”近日在上交所交易大厅举行。俄罗斯财政部、央行以及40余家中俄上市公司、金融机构参加了此次论坛。</w:t>
      </w:r>
    </w:p>
    <w:p>
      <w:r>
        <w:t xml:space="preserve">论坛期间，莫斯科交易所与两家中国券商签署了合作谅解备忘录，这标志着双边金融合作从政府间稳步扩大到市场间。论坛的举办为中俄两地金融机构加强交流沟通搭建了新的平台。论坛围绕中国在俄罗斯金融投资的最新发展情况、俄罗斯金融市场基础设施建设以及中国投资者在俄罗斯资本市场的主要投资机遇等话题开展了深入讨论，并进一步探讨建立两国资本市场的长期合作机制。</w:t>
      </w:r>
    </w:p>
    <w:p>
      <w:hyperlink r:id="rId31">
        <w:r>
          <w:rPr>
            <w:rStyle w:val="Link"/>
          </w:rPr>
          <w:t xml:space="preserve">来源</w:t>
        </w:r>
      </w:hyperlink>
      <w:r>
        <w:t xml:space="preserve"> </w:t>
      </w:r>
      <w:r>
        <w:t xml:space="preserve">(</w:t>
      </w:r>
      <w:hyperlink r:id="rId32">
        <w:r>
          <w:rPr>
            <w:rStyle w:val="Link"/>
          </w:rPr>
          <w:t xml:space="preserve">副本</w:t>
        </w:r>
      </w:hyperlink>
      <w:r>
        <w:t xml:space="preserve">)</w:t>
      </w:r>
    </w:p>
    <w:p>
      <w:pPr>
        <w:pStyle w:val="Heading3"/>
      </w:pPr>
      <w:bookmarkStart w:id="33" w:name="中国首只邮轮产业基金设立规模为300亿元人民币"/>
      <w:bookmarkEnd w:id="33"/>
      <w:r>
        <w:t xml:space="preserve">中国首只邮轮产业基金设立，规模为300亿元人民币</w:t>
      </w:r>
    </w:p>
    <w:p>
      <w:r>
        <w:t xml:space="preserve">中国船舶工业集团公司、中国建设银行、中国农业银行、中国银行、中国光大银行、兴业银行近日正式签约，六方共同发起设立我国第一只邮轮产业基金。</w:t>
      </w:r>
    </w:p>
    <w:p>
      <w:r>
        <w:t xml:space="preserve">该豪华邮轮产业基金由中船集团牵头发起，按照“同股同权、利益共享、风险共担”的原则联合国内有关金融机构共同组建。基金首期规模为300亿元人民币，注册地为上海，存续期7年，延长期3年，未来将根据后续产业发展及投资需求情况设立二期。各基金发起方已明确了各家投资主体，签约后将尽快组建管理公司发起产业基金，未来将瞄准邮轮设计建造、投资运营和配套服务等领域项目开展投资，推动和培育形成我国本土邮轮制造产业链。</w:t>
      </w:r>
    </w:p>
    <w:p>
      <w:hyperlink r:id="rId34">
        <w:r>
          <w:rPr>
            <w:rStyle w:val="Link"/>
          </w:rPr>
          <w:t xml:space="preserve">来源</w:t>
        </w:r>
      </w:hyperlink>
      <w:r>
        <w:t xml:space="preserve"> </w:t>
      </w:r>
      <w:r>
        <w:t xml:space="preserve">(</w:t>
      </w:r>
      <w:hyperlink r:id="rId35">
        <w:r>
          <w:rPr>
            <w:rStyle w:val="Link"/>
          </w:rPr>
          <w:t xml:space="preserve">副本</w:t>
        </w:r>
      </w:hyperlink>
      <w:r>
        <w:t xml:space="preserve">)</w:t>
      </w:r>
    </w:p>
    <w:p>
      <w:pPr>
        <w:pStyle w:val="Heading2"/>
      </w:pPr>
      <w:bookmarkStart w:id="36" w:name="税收"/>
      <w:bookmarkEnd w:id="36"/>
      <w:r>
        <w:t xml:space="preserve">税收</w:t>
      </w:r>
    </w:p>
    <w:p>
      <w:pPr>
        <w:pStyle w:val="Heading3"/>
      </w:pPr>
      <w:bookmarkStart w:id="37" w:name="全国人大常委会表决通过环境保护税法"/>
      <w:bookmarkEnd w:id="37"/>
      <w:r>
        <w:t xml:space="preserve">全国人大常委会表决通过《环境保护税法》</w:t>
      </w:r>
    </w:p>
    <w:p>
      <w:r>
        <w:t xml:space="preserve">第十二届全国人大常委会第二十五次会议于2016年12月25日表决通过了《环境保护税法》。《环境保护税法》将于2018年1月1日起施行。</w:t>
      </w:r>
    </w:p>
    <w:p>
      <w:r>
        <w:t xml:space="preserve">《环境保护税法》共五章二十八条，以现行排污收费制度为基础进行制度设计，对计税依据和应纳税额、税收减免、征收管理等作出了具体规定。确定了环境保护税的纳税人、课税对象、计税依据、税目税额、征收管理等各项制度规定。这是“落实税收法定原则”制定的第一部推进生态文明建设的单行税法，我国的税收种类由此增至19个。</w:t>
      </w:r>
    </w:p>
    <w:p>
      <w:hyperlink r:id="rId38">
        <w:r>
          <w:rPr>
            <w:rStyle w:val="Link"/>
          </w:rPr>
          <w:t xml:space="preserve">来源</w:t>
        </w:r>
      </w:hyperlink>
      <w:r>
        <w:t xml:space="preserve"> </w:t>
      </w:r>
      <w:r>
        <w:t xml:space="preserve">(</w:t>
      </w:r>
      <w:hyperlink r:id="rId39">
        <w:r>
          <w:rPr>
            <w:rStyle w:val="Link"/>
          </w:rPr>
          <w:t xml:space="preserve">副本</w:t>
        </w:r>
      </w:hyperlink>
      <w:r>
        <w:t xml:space="preserve">)</w:t>
      </w:r>
    </w:p>
    <w:p>
      <w:pPr>
        <w:pStyle w:val="Heading3"/>
      </w:pPr>
      <w:bookmarkStart w:id="40" w:name="国务院关税税则委员会关于2017年关税调整方案的通知"/>
      <w:bookmarkEnd w:id="40"/>
      <w:r>
        <w:t xml:space="preserve">国务院关税税则委员会：关于2017年关税调整方案的通知</w:t>
      </w:r>
    </w:p>
    <w:p>
      <w:r>
        <w:t xml:space="preserve">国务院关税税则委员会近日发布了《关于2017年关税调整方案的通知》（以下简称《通知》），《通知》自2017年1月1日起实施。</w:t>
      </w:r>
    </w:p>
    <w:p>
      <w:r>
        <w:t xml:space="preserve">《通知》中指出，对《中华人民共和国加入世界贸易组织关税减让表修正案》附表所列信息技术产品最惠国税率自2017年1月1日至2017年6月30日继续实施首次降税，自2017年7月1日起实施第二次降税。《通知》中还指出，将对中国与澳大利亚、巴基斯坦、瑞士、哥斯达黎加、冰岛、韩国、新西兰、秘鲁的自贸协定以及内地分别与港澳的更紧密经贸安排（CEPA）项下的部分产品的协定税率进一步降低。</w:t>
      </w:r>
    </w:p>
    <w:p>
      <w:hyperlink r:id="rId41">
        <w:r>
          <w:rPr>
            <w:rStyle w:val="Link"/>
          </w:rPr>
          <w:t xml:space="preserve">来源</w:t>
        </w:r>
      </w:hyperlink>
      <w:r>
        <w:t xml:space="preserve"> </w:t>
      </w:r>
      <w:r>
        <w:t xml:space="preserve">(</w:t>
      </w:r>
      <w:hyperlink r:id="rId42">
        <w:r>
          <w:rPr>
            <w:rStyle w:val="Link"/>
          </w:rPr>
          <w:t xml:space="preserve">副本</w:t>
        </w:r>
      </w:hyperlink>
      <w:r>
        <w:t xml:space="preserve">) (</w:t>
      </w:r>
      <w:hyperlink r:id="rId43">
        <w:r>
          <w:rPr>
            <w:rStyle w:val="Link"/>
          </w:rPr>
          <w:t xml:space="preserve">副本</w:t>
        </w:r>
      </w:hyperlink>
      <w:r>
        <w:t xml:space="preserve">) (</w:t>
      </w:r>
      <w:hyperlink r:id="rId44">
        <w:r>
          <w:rPr>
            <w:rStyle w:val="Link"/>
          </w:rPr>
          <w:t xml:space="preserve">副本</w:t>
        </w:r>
      </w:hyperlink>
      <w:r>
        <w:t xml:space="preserve">) (</w:t>
      </w:r>
      <w:hyperlink r:id="rId45">
        <w:r>
          <w:rPr>
            <w:rStyle w:val="Link"/>
          </w:rPr>
          <w:t xml:space="preserve">副本</w:t>
        </w:r>
      </w:hyperlink>
      <w:r>
        <w:t xml:space="preserve">) (</w:t>
      </w:r>
      <w:hyperlink r:id="rId46">
        <w:r>
          <w:rPr>
            <w:rStyle w:val="Link"/>
          </w:rPr>
          <w:t xml:space="preserve">副本</w:t>
        </w:r>
      </w:hyperlink>
      <w:r>
        <w:t xml:space="preserve">) (</w:t>
      </w:r>
      <w:hyperlink r:id="rId47">
        <w:r>
          <w:rPr>
            <w:rStyle w:val="Link"/>
          </w:rPr>
          <w:t xml:space="preserve">副本</w:t>
        </w:r>
      </w:hyperlink>
      <w:r>
        <w:t xml:space="preserve">)</w:t>
      </w:r>
    </w:p>
    <w:p>
      <w:pPr>
        <w:pStyle w:val="Heading3"/>
      </w:pPr>
      <w:bookmarkStart w:id="48" w:name="三部门发布关于扶持新型显示器件产业发展有关进口税收政策的通知"/>
      <w:bookmarkEnd w:id="48"/>
      <w:r>
        <w:t xml:space="preserve">三部门发布关于扶持新型显示器件产业发展有关进口税收政策的通知</w:t>
      </w:r>
    </w:p>
    <w:p>
      <w:r>
        <w:t xml:space="preserve">为继续推动我国新型显示器件产业的发展，支持产业升级优化，财政部、海关总署、国家税务总局近日联合发布《关于扶持新型显示器件产业发展有关进口税收政策的通知》（以下简称《通知》）。</w:t>
      </w:r>
    </w:p>
    <w:p>
      <w:r>
        <w:t xml:space="preserve">《通知》中指出，自2016年1月1日至2020年12月31日，对符合国内产业自主化发展规划的彩色滤光膜、偏光片等属于新型显示器件产业上游的关键原材料、零部件的生产企业进口国内不能生产的自用生产性原材料、消耗品，免征进口关税。《通知》中明确，自2016年1月1日至2020年12月31日，新型显示器件（包括薄膜晶体管液晶显示器件、有机发光二极管显示面板）生产企业进口国内不能生产的自用生产性（含研发用）原材料和消耗品，免征进口关税，照章征收进口环节增值税；进口建设净化室所需国内尚无法提供（即国内不能生产或性能不能满足）的配套系统以及维修进口生产设备所需零部件免征进口关税和进口环节增值税。</w:t>
      </w:r>
    </w:p>
    <w:p>
      <w:hyperlink r:id="rId49">
        <w:r>
          <w:rPr>
            <w:rStyle w:val="Link"/>
          </w:rPr>
          <w:t xml:space="preserve">来源</w:t>
        </w:r>
      </w:hyperlink>
      <w:r>
        <w:t xml:space="preserve"> </w:t>
      </w:r>
      <w:r>
        <w:t xml:space="preserve">(</w:t>
      </w:r>
      <w:hyperlink r:id="rId50">
        <w:r>
          <w:rPr>
            <w:rStyle w:val="Link"/>
          </w:rPr>
          <w:t xml:space="preserve">副本</w:t>
        </w:r>
      </w:hyperlink>
      <w:r>
        <w:t xml:space="preserve">) (</w:t>
      </w:r>
      <w:hyperlink r:id="rId51">
        <w:r>
          <w:rPr>
            <w:rStyle w:val="Link"/>
          </w:rPr>
          <w:t xml:space="preserve">副本</w:t>
        </w:r>
      </w:hyperlink>
      <w:r>
        <w:t xml:space="preserve">)</w:t>
      </w:r>
    </w:p>
    <w:p>
      <w:pPr>
        <w:pStyle w:val="Heading2"/>
      </w:pPr>
      <w:bookmarkStart w:id="52" w:name="行业"/>
      <w:bookmarkEnd w:id="52"/>
      <w:r>
        <w:t xml:space="preserve">行业</w:t>
      </w:r>
    </w:p>
    <w:p>
      <w:pPr>
        <w:pStyle w:val="Heading3"/>
      </w:pPr>
      <w:bookmarkStart w:id="53" w:name="两高发布环境污染刑事案件司法解释"/>
      <w:bookmarkEnd w:id="53"/>
      <w:r>
        <w:t xml:space="preserve">两高发布环境污染刑事案件司法解释</w:t>
      </w:r>
    </w:p>
    <w:p>
      <w:r>
        <w:t xml:space="preserve">2016年12月26日，最高人民法院召开新闻发布会，介绍《最高人民法院、最高人民检察院关于办理环境污染刑事案件适用法律若干问题的解释》（以下简称《解释》）。</w:t>
      </w:r>
    </w:p>
    <w:p>
      <w:r>
        <w:t xml:space="preserve">《解释》对污染环境罪的结果加重情节“后果特别严重”的认定标准作了相应完善。对非法排放、倾倒、处置危险废物一百吨以上，或者造成生态环境特别严重损害的，应当认定为“后果特别严重”，处三年以上七年以下有期徒刑，并处罚金。《解释》还明确，“排放、倾倒、处置含铅、汞、镉、铬、砷、铊、锑的污染物，超过国家或者地方污染物排放标准三倍以上”，或者“排放、倾倒、处置含镍、铜、锌、银、钒、锰、钴的污染物，超过国家或者地方污染物排放标准十倍以上的”，应当认定为“严重污染环境”。</w:t>
      </w:r>
    </w:p>
    <w:p>
      <w:hyperlink r:id="rId54">
        <w:r>
          <w:rPr>
            <w:rStyle w:val="Link"/>
          </w:rPr>
          <w:t xml:space="preserve">来源</w:t>
        </w:r>
      </w:hyperlink>
      <w:r>
        <w:t xml:space="preserve"> </w:t>
      </w:r>
      <w:r>
        <w:t xml:space="preserve">(</w:t>
      </w:r>
      <w:hyperlink r:id="rId55">
        <w:r>
          <w:rPr>
            <w:rStyle w:val="Link"/>
          </w:rPr>
          <w:t xml:space="preserve">副本</w:t>
        </w:r>
      </w:hyperlink>
      <w:r>
        <w:t xml:space="preserve">)</w:t>
      </w:r>
    </w:p>
    <w:p>
      <w:pPr>
        <w:pStyle w:val="Heading3"/>
      </w:pPr>
      <w:bookmarkStart w:id="56" w:name="首部中医药综合性法律酝酿30年终出台"/>
      <w:bookmarkEnd w:id="56"/>
      <w:r>
        <w:t xml:space="preserve">首部中医药综合性法律酝酿30年终出台</w:t>
      </w:r>
    </w:p>
    <w:p>
      <w:r>
        <w:t xml:space="preserve">随着十二届全国人大常委会第二十五次会议表决通过，我国首部为传统中医药振兴而制定的国家法律《中华人民共和国中医药法》于2016年12月25日诞生，为继承和弘扬中医药、促进中医药事业健康发展提供有力法律支撑。</w:t>
      </w:r>
    </w:p>
    <w:p>
      <w:r>
        <w:t xml:space="preserve">《中华人民共和国中医药法》分为“中医药服务”“中药保护与发展”“中医药人才培养”“中医药科学研究”“中医药传承与文化传播”“保障措施”“法律责任”等9章，共63条，将于2017年7月1日起施行。这部法律明确了中医药事业的重要地位和发展方针，提出“中医药事业是我国医药卫生事业的重要组成部分。国家大力发展中医药事业，实行中西医并重的方针”。</w:t>
      </w:r>
    </w:p>
    <w:p>
      <w:hyperlink r:id="rId57">
        <w:r>
          <w:rPr>
            <w:rStyle w:val="Link"/>
          </w:rPr>
          <w:t xml:space="preserve">来源</w:t>
        </w:r>
      </w:hyperlink>
      <w:r>
        <w:t xml:space="preserve"> </w:t>
      </w:r>
      <w:r>
        <w:t xml:space="preserve">(</w:t>
      </w:r>
      <w:hyperlink r:id="rId58">
        <w:r>
          <w:rPr>
            <w:rStyle w:val="Link"/>
          </w:rPr>
          <w:t xml:space="preserve">副本</w:t>
        </w:r>
      </w:hyperlink>
      <w:r>
        <w:t xml:space="preserve">)</w:t>
      </w:r>
    </w:p>
    <w:p>
      <w:pPr>
        <w:pStyle w:val="Heading3"/>
      </w:pPr>
      <w:bookmarkStart w:id="59" w:name="交通部修改船舶污染海洋环境应急防备和应急处置管理规定"/>
      <w:bookmarkEnd w:id="59"/>
      <w:r>
        <w:t xml:space="preserve">交通部修改《船舶污染海洋环境应急防备和应急处置管理规定》</w:t>
      </w:r>
    </w:p>
    <w:p>
      <w:r>
        <w:t xml:space="preserve">交通运输部日前发布《关于修改</w:t>
      </w:r>
      <w:r>
        <w:t xml:space="preserve">的决定》(以下简称《决定》)。《决定》自2016年12月13日起施行。</w:t>
      </w:r>
    </w:p>
    <w:p>
      <w:r>
        <w:t xml:space="preserve">《决定》将第二十八条第二款修改为：“船舶沉没的，其所有人、经营人或者管理人应当及时向海事管理机构报告船舶燃油、污染危害性货物以及其他污染物的性质、数量、种类及装载位置等情况，采取或者委托有能力的单位采取污染监视和控制措施，并在必要的时候采取抽出、打捞等措施。”另外，《决定》将第十二条修改为：“中国籍船舶防治污染设施、设备和器材应当符合国家有关标准，并按照国家有关要求通过型式和使用性能检验。”</w:t>
      </w:r>
    </w:p>
    <w:p>
      <w:hyperlink r:id="rId60">
        <w:r>
          <w:rPr>
            <w:rStyle w:val="Link"/>
          </w:rPr>
          <w:t xml:space="preserve">来源</w:t>
        </w:r>
      </w:hyperlink>
      <w:r>
        <w:t xml:space="preserve"> </w:t>
      </w:r>
      <w:r>
        <w:t xml:space="preserve">(</w:t>
      </w:r>
      <w:hyperlink r:id="rId61">
        <w:r>
          <w:rPr>
            <w:rStyle w:val="Link"/>
          </w:rPr>
          <w:t xml:space="preserve">副本</w:t>
        </w:r>
      </w:hyperlink>
      <w:r>
        <w:t xml:space="preserve">)</w:t>
      </w:r>
    </w:p>
    <w:p>
      <w:pPr>
        <w:pStyle w:val="Heading2"/>
      </w:pPr>
      <w:bookmarkStart w:id="62" w:name="并购"/>
      <w:bookmarkEnd w:id="62"/>
      <w:r>
        <w:t xml:space="preserve">并购</w:t>
      </w:r>
    </w:p>
    <w:p>
      <w:pPr>
        <w:pStyle w:val="Heading3"/>
      </w:pPr>
      <w:bookmarkStart w:id="63" w:name="越秀金控拟以62亿收购广州证券剩余股权"/>
      <w:bookmarkEnd w:id="63"/>
      <w:r>
        <w:t xml:space="preserve">越秀金控拟以62亿收购广州证券剩余股权</w:t>
      </w:r>
    </w:p>
    <w:p>
      <w:r>
        <w:t xml:space="preserve">因重大资产重组停牌近4个月的广州越秀金融控股集团股份有限公司（以下简称“越秀金控”），在2016年12月25日晚间公布了重大资产重组预案。公司拟以13.16元/股的价格，向穗恒运、广州富力、北京中邮、广州白云、广州金控等6名交易对方发行4.38亿股，并支付现金5亿元，合计作价62.64亿元，收购6家公司持有的广州证券股份有限公司(以下简称“广州证券”)32.765%股权，并募集不超50亿元配套资金。</w:t>
      </w:r>
    </w:p>
    <w:p>
      <w:r>
        <w:t xml:space="preserve">交易完成后，越秀金控将持有广州证券100%股权。越秀金控在接受投资者调研时指出，未来越秀金控将积极打造以证券为核心的综合金融控股发展模式，同时逐步完善金融业务链条，调整优化现有金融业务布局，积极研究谋划保险、第三方支付和不良资产管理等金融牌照。</w:t>
      </w:r>
    </w:p>
    <w:p>
      <w:hyperlink r:id="rId64">
        <w:r>
          <w:rPr>
            <w:rStyle w:val="Link"/>
          </w:rPr>
          <w:t xml:space="preserve">来源</w:t>
        </w:r>
      </w:hyperlink>
      <w:r>
        <w:t xml:space="preserve"> </w:t>
      </w:r>
      <w:r>
        <w:t xml:space="preserve">(</w:t>
      </w:r>
      <w:hyperlink r:id="rId65">
        <w:r>
          <w:rPr>
            <w:rStyle w:val="Link"/>
          </w:rPr>
          <w:t xml:space="preserve">副本</w:t>
        </w:r>
      </w:hyperlink>
      <w:r>
        <w:t xml:space="preserve">)</w:t>
      </w:r>
    </w:p>
    <w:p>
      <w:pPr>
        <w:pStyle w:val="Heading3"/>
      </w:pPr>
      <w:bookmarkStart w:id="66" w:name="凌云股份拟以12.89亿元收购军民品资产"/>
      <w:bookmarkEnd w:id="66"/>
      <w:r>
        <w:t xml:space="preserve">凌云股份拟以12.89亿元收购军民品资产</w:t>
      </w:r>
    </w:p>
    <w:p>
      <w:r>
        <w:t xml:space="preserve">凌云工业股份有限公司(以下简称“凌云股份”)于2016年12月27日晚公告，公司拟收购河北太行机械工业有限公司100%股权和北京东方联星科技有限公司100%股权，交易价格初步确定为12.89亿元。</w:t>
      </w:r>
    </w:p>
    <w:p>
      <w:r>
        <w:t xml:space="preserve">本次交易前，凌云股份主要从事汽车零部件生产及销售业务和塑料管道系统生产及销售业务。本次交易完成后，随着标的资产注入，凌云股份主营业务将新增轻型火箭(导弹)发射装置等军品的研发、生产及销售，轨道交通车辆零部件等民品的生产及销售，以及北斗卫星导航芯片及其军民应用产品的研发、生产及销售。</w:t>
      </w:r>
    </w:p>
    <w:p>
      <w:hyperlink r:id="rId67">
        <w:r>
          <w:rPr>
            <w:rStyle w:val="Link"/>
          </w:rPr>
          <w:t xml:space="preserve">来源</w:t>
        </w:r>
      </w:hyperlink>
      <w:r>
        <w:t xml:space="preserve"> </w:t>
      </w:r>
      <w:r>
        <w:t xml:space="preserve">(</w:t>
      </w:r>
      <w:hyperlink r:id="rId68">
        <w:r>
          <w:rPr>
            <w:rStyle w:val="Link"/>
          </w:rPr>
          <w:t xml:space="preserve">副本</w:t>
        </w:r>
      </w:hyperlink>
      <w:r>
        <w:t xml:space="preserve">)</w:t>
      </w:r>
    </w:p>
    <w:p>
      <w:pPr>
        <w:pStyle w:val="Heading3"/>
      </w:pPr>
      <w:bookmarkStart w:id="69" w:name="金鸿能源子公司拟以1.105亿元收购宽城博瑞67股权"/>
      <w:bookmarkEnd w:id="69"/>
      <w:r>
        <w:t xml:space="preserve">金鸿能源子公司拟以1.105亿元收购宽城博瑞67%股权</w:t>
      </w:r>
    </w:p>
    <w:p>
      <w:r>
        <w:t xml:space="preserve">中油金鸿能源投资股份有限公司(以下简称“金鸿能源”)于2016年12月28日晚公告，公司拟由全资子公司中油金鸿华北投资管理有限公司向承德宽清新型燃气有限公司及唐鑫安以不超过1.105亿元的价格收购其持有的宽城博瑞供气有限公司（以下简称“宽城博瑞”）67%股权。</w:t>
      </w:r>
    </w:p>
    <w:p>
      <w:r>
        <w:t xml:space="preserve">宽城博瑞经营范围是宽城县城区管道燃气（液化天然气）供应，厨房设备及配件销售等。金鸿能源表示，本次股权收购有利于公司在京津冀区域深入布局，实现可持续发展，促进公司产业规模进一步扩大，尤其是市场范围将更加丰富，有助于提升公司营业收入和盈利能力，保证公司持续稳定发展。</w:t>
      </w:r>
    </w:p>
    <w:p>
      <w:hyperlink r:id="rId70">
        <w:r>
          <w:rPr>
            <w:rStyle w:val="Link"/>
          </w:rPr>
          <w:t xml:space="preserve">来源</w:t>
        </w:r>
      </w:hyperlink>
      <w:r>
        <w:t xml:space="preserve"> </w:t>
      </w:r>
      <w:r>
        <w:t xml:space="preserve">(</w:t>
      </w:r>
      <w:hyperlink r:id="rId71">
        <w:r>
          <w:rPr>
            <w:rStyle w:val="Link"/>
          </w:rPr>
          <w:t xml:space="preserve">副本</w:t>
        </w:r>
      </w:hyperlink>
      <w:r>
        <w:t xml:space="preserve">)</w:t>
      </w:r>
    </w:p>
    <w:p>
      <w:pPr>
        <w:pStyle w:val="Heading3"/>
      </w:pPr>
      <w:bookmarkStart w:id="72" w:name="福田汽车与中非发展基金签订战略合作备忘录"/>
      <w:bookmarkEnd w:id="72"/>
      <w:r>
        <w:t xml:space="preserve">福田汽车与中非发展基金签订战略合作备忘录</w:t>
      </w:r>
    </w:p>
    <w:p>
      <w:r>
        <w:t xml:space="preserve">福田汽车集团与中非发展基金近日签订了《关于在非洲与葡语国家及地区开展投资项目合作之战略合作备忘录》。</w:t>
      </w:r>
    </w:p>
    <w:p>
      <w:r>
        <w:t xml:space="preserve">通过此次合作，福田汽车将发挥在汽车行业的运作和管理优势，进行投资项目运作、实施和管理，而中非发展基金将发挥9年来对非投资经验、资金支持、风险把控等平台优势，并结合股东国家开发银行的贷款优势，为项目提供综合金融服务。未来，福田汽车在非洲区域将以投资、产品制造、汽车营销、属地金融、通商贸易五大业务模块为目标，形成互为依托和支撑的整体，作为加快非洲市场业务拓展、模式转型和应对金融风险的重要保障。</w:t>
      </w:r>
    </w:p>
    <w:p>
      <w:hyperlink r:id="rId73">
        <w:r>
          <w:rPr>
            <w:rStyle w:val="Link"/>
          </w:rPr>
          <w:t xml:space="preserve">来源</w:t>
        </w:r>
      </w:hyperlink>
      <w:r>
        <w:t xml:space="preserve"> </w:t>
      </w:r>
      <w:r>
        <w:t xml:space="preserve">(</w:t>
      </w:r>
      <w:hyperlink r:id="rId74">
        <w:r>
          <w:rPr>
            <w:rStyle w:val="Link"/>
          </w:rPr>
          <w:t xml:space="preserve">副本</w:t>
        </w:r>
      </w:hyperlink>
      <w:r>
        <w:t xml:space="preserve">)</w:t>
      </w:r>
    </w:p>
    <w:p>
      <w:pPr>
        <w:pStyle w:val="Heading3"/>
      </w:pPr>
      <w:bookmarkStart w:id="75" w:name="华夏基金13.9的股权将被海外巨头收购"/>
      <w:bookmarkEnd w:id="75"/>
      <w:r>
        <w:t xml:space="preserve">华夏基金13.9%的股权将被海外巨头收购</w:t>
      </w:r>
    </w:p>
    <w:p>
      <w:r>
        <w:t xml:space="preserve">2016年12月29日晚，美国上市公司IGM Financial发布公告称，IGM Financial的子公司Mackenzie Financial将以约4.68亿加元（约24亿元人民币）收购华夏基金管理有限公司（以下简称“华夏基金”）10%的股权。而另一项收购协议中，Mackenzie Financial可以选择在明年1月将所持华夏基金股权再提高3.9%。届时，Mackenzie Financial总计持股华夏基金比例将达到13.9%。</w:t>
      </w:r>
    </w:p>
    <w:p>
      <w:r>
        <w:t xml:space="preserve">IGM Financial属于华夏基金现有股东加拿大鲍尔公司（POWER CORPORATION OFCANADA）旗下的资产管理公司，Mackenzie Financial的股权收购也意味着，加拿大鲍尔公司及旗下公司持有华夏基金的全部股权将提升至23.9%，整体晋升为华夏基金第二大股东。IGM Financial公司的首席执行官卡尔尼谈到，这项收购让公司有机会去参与世界第二大经济体中国的快速发展的资产管理业务，也增强了公司在加拿大以外市场的多元化业务布局。</w:t>
      </w:r>
    </w:p>
    <w:p>
      <w:hyperlink r:id="rId76">
        <w:r>
          <w:rPr>
            <w:rStyle w:val="Link"/>
          </w:rPr>
          <w:t xml:space="preserve">来源</w:t>
        </w:r>
      </w:hyperlink>
      <w:r>
        <w:t xml:space="preserve"> </w:t>
      </w:r>
      <w:r>
        <w:t xml:space="preserve">(</w:t>
      </w:r>
      <w:hyperlink r:id="rId74">
        <w:r>
          <w:rPr>
            <w:rStyle w:val="Link"/>
          </w:rPr>
          <w:t xml:space="preserve">副本</w:t>
        </w:r>
      </w:hyperlink>
      <w:r>
        <w:t xml:space="preserve">)</w:t>
      </w:r>
    </w:p>
    <w:p>
      <w:pPr>
        <w:pStyle w:val="BlockQuote"/>
      </w:pPr>
      <w:r>
        <w:rPr>
          <w:b/>
        </w:rPr>
        <w:t xml:space="preserve">本法讯仅供参考.</w:t>
      </w:r>
    </w:p>
    <w:p>
      <w:pPr>
        <w:pStyle w:val="BlockQuote"/>
      </w:pPr>
      <w:r>
        <w:t xml:space="preserve">本法讯内容不构成法律建议, 亦不应被视为替代对个别个案的详细意见。</w:t>
      </w:r>
    </w:p>
    <w:p>
      <w:pPr>
        <w:pStyle w:val="BlockQuote"/>
      </w:pPr>
      <w:r>
        <w:t xml:space="preserve">发送本信息并无意图建立、及接收本信息亦不构成易周律师行与用户或浏览者之间一种律师与客户的关系。</w:t>
      </w:r>
    </w:p>
    <w:p>
      <w:pPr>
        <w:pStyle w:val="BlockQuote"/>
      </w:pPr>
      <w:r>
        <w:t xml:space="preserve">易周律师行并不对可从网站上获得的任何第三方内容负责。</w:t>
      </w:r>
    </w:p>
    <w:p>
      <w:pPr>
        <w:pStyle w:val="BlockQuote"/>
      </w:pPr>
      <w:r>
        <w:t xml:space="preserve">如果您不希望收到本法讯,法讯,请电邮</w:t>
      </w:r>
      <w:r>
        <w:t xml:space="preserve"> </w:t>
      </w:r>
      <w:hyperlink r:id="rId77">
        <w:r>
          <w:rPr>
            <w:rStyle w:val="Link"/>
          </w:rPr>
          <w:t xml:space="preserve">unsubscribe@charltonslaw.com</w:t>
        </w:r>
      </w:hyperlink>
    </w:p>
    <w:p>
      <w:r>
        <w:rPr>
          <w:b/>
        </w:rPr>
        <w:t xml:space="preserve">易周律师行 - 法讯 - 中国 - 第525期 - 2016年12月30日</w:t>
      </w:r>
    </w:p>
    <w:sectPr w:rsidR="005F6FFF" w:rsidRPr="00761A09" w:rsidSect="00F41B61">
      <w:pgSz w:w="11900" w:h="16840"/>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Calibri">
    <w:panose1 w:val="020F0502020204030204"/>
    <w:charset w:val="00"/>
    <w:family w:val="auto"/>
    <w:pitch w:val="variable"/>
    <w:sig w:usb0="E00002FF" w:usb1="4000ACFF" w:usb2="00000001" w:usb3="00000000" w:csb0="0000019F" w:csb1="00000000"/>
  </w:font>
  <w:font w:name="ＭＳ ゴシック">
    <w:charset w:val="80"/>
    <w:family w:val="auto"/>
    <w:pitch w:val="variable"/>
    <w:sig w:usb0="E00002FF" w:usb1="6AC7FDFB" w:usb2="08000012" w:usb3="00000000" w:csb0="000200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 w:name="ＭＳ 明朝">
    <w:charset w:val="80"/>
    <w:family w:val="auto"/>
    <w:pitch w:val="variable"/>
    <w:sig w:usb0="E00002FF" w:usb1="6AC7FDFB" w:usb2="08000012" w:usb3="00000000" w:csb0="0002009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1D"/>
    <w:multiLevelType w:val="multilevel"/>
    <w:tmpl w:val="D0409C7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30585973"/>
    <w:multiLevelType w:val="multilevel"/>
    <w:tmpl w:val="A47E15C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90">
    <w:nsid w:val="351a4af3"/>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80">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61A09"/>
    <w:pPr>
      <w:jc w:val="both"/>
    </w:pPr>
  </w:style>
  <w:style w:type="paragraph" w:styleId="Heading1">
    <w:name w:val="heading 1"/>
    <w:basedOn w:val="Normal"/>
    <w:next w:val="Normal"/>
    <w:uiPriority w:val="9"/>
    <w:qFormat/>
    <w:rsid w:val="00010E49"/>
    <w:pPr>
      <w:keepNext/>
      <w:keepLines/>
      <w:spacing w:before="480" w:after="0"/>
      <w:outlineLvl w:val="0"/>
    </w:pPr>
    <w:rPr>
      <w:rFonts w:asciiTheme="majorHAnsi" w:eastAsiaTheme="majorEastAsia" w:hAnsiTheme="majorHAnsi" w:cstheme="majorBidi"/>
      <w:b/>
      <w:bCs/>
      <w:color w:val="C0143C"/>
      <w:sz w:val="36"/>
      <w:szCs w:val="36"/>
    </w:rPr>
  </w:style>
  <w:style w:type="paragraph" w:styleId="Heading2">
    <w:name w:val="heading 2"/>
    <w:basedOn w:val="Normal"/>
    <w:next w:val="Normal"/>
    <w:uiPriority w:val="9"/>
    <w:unhideWhenUsed/>
    <w:qFormat/>
    <w:rsid w:val="00010E49"/>
    <w:pPr>
      <w:keepNext/>
      <w:keepLines/>
      <w:spacing w:before="200" w:after="0"/>
      <w:outlineLvl w:val="1"/>
    </w:pPr>
    <w:rPr>
      <w:rFonts w:asciiTheme="majorHAnsi" w:eastAsiaTheme="majorEastAsia" w:hAnsiTheme="majorHAnsi" w:cstheme="majorBidi"/>
      <w:b/>
      <w:bCs/>
      <w:color w:val="C0143C"/>
      <w:sz w:val="32"/>
      <w:szCs w:val="32"/>
    </w:rPr>
  </w:style>
  <w:style w:type="paragraph" w:styleId="Heading3">
    <w:name w:val="heading 3"/>
    <w:basedOn w:val="Normal"/>
    <w:next w:val="Normal"/>
    <w:uiPriority w:val="9"/>
    <w:unhideWhenUsed/>
    <w:qFormat/>
    <w:rsid w:val="00010E49"/>
    <w:pPr>
      <w:keepNext/>
      <w:keepLines/>
      <w:spacing w:before="200" w:after="0"/>
      <w:outlineLvl w:val="2"/>
    </w:pPr>
    <w:rPr>
      <w:rFonts w:asciiTheme="majorHAnsi" w:eastAsiaTheme="majorEastAsia" w:hAnsiTheme="majorHAnsi" w:cstheme="majorBidi"/>
      <w:b/>
      <w:bCs/>
      <w:sz w:val="28"/>
      <w:szCs w:val="28"/>
    </w:rPr>
  </w:style>
  <w:style w:type="paragraph" w:styleId="Heading4">
    <w:name w:val="heading 4"/>
    <w:basedOn w:val="Normal"/>
    <w:next w:val="Normal"/>
    <w:uiPriority w:val="9"/>
    <w:unhideWhenUsed/>
    <w:qFormat/>
    <w:rsid w:val="00010E49"/>
    <w:pPr>
      <w:keepNext/>
      <w:keepLines/>
      <w:spacing w:before="200" w:after="0"/>
      <w:outlineLvl w:val="3"/>
    </w:pPr>
    <w:rPr>
      <w:rFonts w:asciiTheme="majorHAnsi" w:eastAsiaTheme="majorEastAsia" w:hAnsiTheme="majorHAnsi" w:cstheme="majorBidi"/>
      <w:b/>
      <w:bCs/>
      <w:u w:val="single"/>
    </w:rPr>
  </w:style>
  <w:style w:type="paragraph" w:styleId="Heading5">
    <w:name w:val="heading 5"/>
    <w:basedOn w:val="Normal"/>
    <w:next w:val="Normal"/>
    <w:uiPriority w:val="9"/>
    <w:unhideWhenUsed/>
    <w:qFormat/>
    <w:rsid w:val="00010E49"/>
    <w:pPr>
      <w:keepNext/>
      <w:keepLines/>
      <w:spacing w:before="200" w:after="0"/>
      <w:outlineLvl w:val="4"/>
    </w:pPr>
    <w:rPr>
      <w:rFonts w:asciiTheme="majorHAnsi" w:eastAsiaTheme="majorEastAsia" w:hAnsiTheme="majorHAnsi"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Heading1"/>
    <w:next w:val="Normal"/>
    <w:qFormat/>
    <w:rsid w:val="00B63F58"/>
    <w:pPr>
      <w:shd w:val="clear" w:color="auto" w:fill="000000"/>
      <w:spacing w:before="0" w:line="360" w:lineRule="exact"/>
      <w:jc w:val="center"/>
    </w:pPr>
    <w:rPr>
      <w:rFonts w:asciiTheme="minorHAnsi" w:hAnsiTheme="minorHAnsi"/>
      <w:color w:val="FFFFFF" w:themeColor="background1"/>
      <w:sz w:val="24"/>
      <w:szCs w:val="24"/>
    </w:rPr>
  </w:style>
  <w:style w:type="paragraph" w:customStyle="1" w:styleId="Authors">
    <w:name w:val="Authors"/>
    <w:basedOn w:val="Normal"/>
    <w:next w:val="Normal"/>
    <w:qFormat/>
    <w:rsid w:val="00B104BB"/>
    <w:pPr>
      <w:jc w:val="center"/>
    </w:pPr>
    <w:rPr>
      <w:rFonts w:asciiTheme="majorHAnsi" w:hAnsiTheme="majorHAnsi"/>
      <w:b/>
      <w:sz w:val="20"/>
      <w:szCs w:val="20"/>
    </w:rPr>
  </w:style>
  <w:style w:type="paragraph" w:styleId="Date">
    <w:name w:val="Date"/>
    <w:next w:val="Normal"/>
    <w:qFormat/>
    <w:rsid w:val="00B832C2"/>
    <w:pPr>
      <w:keepNext/>
      <w:keepLines/>
      <w:jc w:val="center"/>
    </w:pPr>
  </w:style>
  <w:style w:type="paragraph" w:customStyle="1" w:styleId="BlockQuote">
    <w:name w:val="Block Quote"/>
    <w:basedOn w:val="Normal"/>
    <w:next w:val="Normal"/>
    <w:uiPriority w:val="9"/>
    <w:unhideWhenUsed/>
    <w:qFormat/>
    <w:rsid w:val="00C7545A"/>
    <w:pPr>
      <w:pBdr>
        <w:top w:val="single" w:sz="4" w:space="1" w:color="auto"/>
        <w:left w:val="single" w:sz="4" w:space="4" w:color="auto"/>
        <w:bottom w:val="single" w:sz="4" w:space="1" w:color="auto"/>
        <w:right w:val="single" w:sz="4" w:space="4" w:color="auto"/>
      </w:pBdr>
      <w:shd w:val="clear" w:color="auto" w:fill="E6E6E6"/>
      <w:spacing w:before="100" w:after="100"/>
    </w:pPr>
    <w:rPr>
      <w:rFonts w:eastAsiaTheme="majorEastAsia" w:cstheme="majorBidi"/>
      <w:bCs/>
    </w:rPr>
  </w:style>
  <w:style w:type="paragraph" w:customStyle="1" w:styleId="DefinitionTerm">
    <w:name w:val="Definition Term"/>
    <w:basedOn w:val="Normal"/>
    <w:next w:val="Definition"/>
    <w:rsid w:val="00B832C2"/>
    <w:pPr>
      <w:keepNext/>
      <w:keepLines/>
      <w:spacing w:after="0"/>
    </w:pPr>
    <w:rPr>
      <w:b/>
    </w:rPr>
  </w:style>
  <w:style w:type="paragraph" w:customStyle="1" w:styleId="Definition">
    <w:name w:val="Definition"/>
    <w:basedOn w:val="Normal"/>
    <w:rsid w:val="00B832C2"/>
  </w:style>
  <w:style w:type="paragraph" w:styleId="BodyText">
    <w:name w:val="Body Text"/>
    <w:basedOn w:val="Normal"/>
    <w:rsid w:val="00B832C2"/>
    <w:pPr>
      <w:spacing w:after="120"/>
    </w:pPr>
  </w:style>
  <w:style w:type="paragraph" w:customStyle="1" w:styleId="TableCaption">
    <w:name w:val="Table Caption"/>
    <w:basedOn w:val="Normal"/>
    <w:rsid w:val="00B832C2"/>
    <w:pPr>
      <w:spacing w:after="120"/>
    </w:pPr>
    <w:rPr>
      <w:i/>
    </w:rPr>
  </w:style>
  <w:style w:type="paragraph" w:customStyle="1" w:styleId="ImageCaption">
    <w:name w:val="Image Caption"/>
    <w:basedOn w:val="Normal"/>
    <w:link w:val="BodyTextChar"/>
    <w:rsid w:val="00B832C2"/>
    <w:pPr>
      <w:spacing w:after="120"/>
    </w:pPr>
    <w:rPr>
      <w:i/>
    </w:rPr>
  </w:style>
  <w:style w:type="character" w:customStyle="1" w:styleId="BodyTextChar">
    <w:name w:val="Body Text Char"/>
    <w:basedOn w:val="DefaultParagraphFont"/>
    <w:link w:val="ImageCaption"/>
    <w:rsid w:val="00B832C2"/>
  </w:style>
  <w:style w:type="character" w:customStyle="1" w:styleId="VerbatimChar">
    <w:name w:val="Verbatim Char"/>
    <w:basedOn w:val="BodyTextChar"/>
    <w:rsid w:val="00B832C2"/>
    <w:rPr>
      <w:rFonts w:ascii="Consolas" w:hAnsi="Consolas"/>
      <w:sz w:val="22"/>
    </w:rPr>
  </w:style>
  <w:style w:type="character" w:customStyle="1" w:styleId="FootnoteRef">
    <w:name w:val="Footnote Ref"/>
    <w:basedOn w:val="BodyTextChar"/>
    <w:rsid w:val="00B832C2"/>
    <w:rPr>
      <w:vertAlign w:val="superscript"/>
    </w:rPr>
  </w:style>
  <w:style w:type="character" w:customStyle="1" w:styleId="Link">
    <w:name w:val="Link"/>
    <w:basedOn w:val="BodyTextChar"/>
    <w:rsid w:val="00B832C2"/>
    <w:rPr>
      <w:color w:val="4F81BD" w:themeColor="accent1"/>
    </w:rPr>
  </w:style>
  <w:style w:type="paragraph" w:styleId="DocumentMap">
    <w:name w:val="Document Map"/>
    <w:basedOn w:val="Normal"/>
    <w:link w:val="DocumentMapChar"/>
    <w:semiHidden/>
    <w:unhideWhenUsed/>
    <w:rsid w:val="00F41B61"/>
    <w:pPr>
      <w:spacing w:after="0"/>
    </w:pPr>
    <w:rPr>
      <w:rFonts w:ascii="Times New Roman" w:hAnsi="Times New Roman" w:cs="Times New Roman"/>
    </w:rPr>
  </w:style>
  <w:style w:type="character" w:customStyle="1" w:styleId="DocumentMapChar">
    <w:name w:val="Document Map Char"/>
    <w:basedOn w:val="DefaultParagraphFont"/>
    <w:link w:val="DocumentMap"/>
    <w:semiHidden/>
    <w:rsid w:val="00F41B61"/>
    <w:rPr>
      <w:rFonts w:ascii="Times New Roman" w:hAnsi="Times New Roman" w:cs="Times New Roman"/>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harTok">
    <w:name w:val="CharTok"/>
    <w:basedOn w:val="VerbatimChar"/>
    <w:rPr>
      <w:color w:val="4070a0"/>
    </w:rPr>
  </w:style>
  <w:style w:type="character" w:customStyle="1" w:styleId="StringTok">
    <w:name w:val="StringTok"/>
    <w:basedOn w:val="VerbatimChar"/>
    <w:rPr>
      <w:color w:val="4070a0"/>
    </w:rPr>
  </w:style>
  <w:style w:type="character" w:customStyle="1" w:styleId="CommentTok">
    <w:name w:val="CommentTok"/>
    <w:basedOn w:val="VerbatimChar"/>
    <w:rPr>
      <w:color w:val="60a0b0"/>
      <w:i/>
    </w:rPr>
  </w:style>
  <w:style w:type="character" w:customStyle="1" w:styleId="OtherTok">
    <w:name w:val="OtherTok"/>
    <w:basedOn w:val="VerbatimChar"/>
    <w:rPr>
      <w:color w:val="007020"/>
    </w:rPr>
  </w:style>
  <w:style w:type="character" w:customStyle="1" w:styleId="AlertTok">
    <w:name w:val="AlertTok"/>
    <w:basedOn w:val="VerbatimChar"/>
    <w:rPr>
      <w:color w:val="ff0000"/>
      <w:b/>
    </w:rPr>
  </w:style>
  <w:style w:type="character" w:customStyle="1" w:styleId="FunctionTok">
    <w:name w:val="FunctionTok"/>
    <w:basedOn w:val="VerbatimChar"/>
    <w:rPr>
      <w:color w:val="06287e"/>
    </w:rPr>
  </w:style>
  <w:style w:type="character" w:customStyle="1" w:styleId="RegionMarkerTok">
    <w:name w:val="RegionMarkerTok"/>
    <w:basedOn w:val="VerbatimChar"/>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hyperlink" Id="rId26" Target="1.pdf" TargetMode="External" /><Relationship Type="http://schemas.openxmlformats.org/officeDocument/2006/relationships/hyperlink" Id="rId61" Target="10.pdf" TargetMode="External" /><Relationship Type="http://schemas.openxmlformats.org/officeDocument/2006/relationships/hyperlink" Id="rId65" Target="11.pdf" TargetMode="External" /><Relationship Type="http://schemas.openxmlformats.org/officeDocument/2006/relationships/hyperlink" Id="rId68" Target="12.pdf" TargetMode="External" /><Relationship Type="http://schemas.openxmlformats.org/officeDocument/2006/relationships/hyperlink" Id="rId71" Target="13.pdf" TargetMode="External" /><Relationship Type="http://schemas.openxmlformats.org/officeDocument/2006/relationships/hyperlink" Id="rId74" Target="14.pdf" TargetMode="External" /><Relationship Type="http://schemas.openxmlformats.org/officeDocument/2006/relationships/hyperlink" Id="rId29" Target="2.pdf" TargetMode="External" /><Relationship Type="http://schemas.openxmlformats.org/officeDocument/2006/relationships/hyperlink" Id="rId32" Target="3.pdf" TargetMode="External" /><Relationship Type="http://schemas.openxmlformats.org/officeDocument/2006/relationships/hyperlink" Id="rId35" Target="4.pdf" TargetMode="External" /><Relationship Type="http://schemas.openxmlformats.org/officeDocument/2006/relationships/hyperlink" Id="rId39" Target="5.pdf" TargetMode="External" /><Relationship Type="http://schemas.openxmlformats.org/officeDocument/2006/relationships/hyperlink" Id="rId42" Target="6.pdf" TargetMode="External" /><Relationship Type="http://schemas.openxmlformats.org/officeDocument/2006/relationships/hyperlink" Id="rId43" Target="6a.pdf" TargetMode="External" /><Relationship Type="http://schemas.openxmlformats.org/officeDocument/2006/relationships/hyperlink" Id="rId44" Target="6b.pdf" TargetMode="External" /><Relationship Type="http://schemas.openxmlformats.org/officeDocument/2006/relationships/hyperlink" Id="rId45" Target="6c.pdf" TargetMode="External" /><Relationship Type="http://schemas.openxmlformats.org/officeDocument/2006/relationships/hyperlink" Id="rId46" Target="6d.pdf" TargetMode="External" /><Relationship Type="http://schemas.openxmlformats.org/officeDocument/2006/relationships/hyperlink" Id="rId47" Target="6e.pdf" TargetMode="External" /><Relationship Type="http://schemas.openxmlformats.org/officeDocument/2006/relationships/hyperlink" Id="rId50" Target="7.pdf" TargetMode="External" /><Relationship Type="http://schemas.openxmlformats.org/officeDocument/2006/relationships/hyperlink" Id="rId51" Target="7a.pdf" TargetMode="External" /><Relationship Type="http://schemas.openxmlformats.org/officeDocument/2006/relationships/hyperlink" Id="rId55" Target="8.pdf" TargetMode="External" /><Relationship Type="http://schemas.openxmlformats.org/officeDocument/2006/relationships/hyperlink" Id="rId58" Target="9.pdf" TargetMode="External" /><Relationship Type="http://schemas.openxmlformats.org/officeDocument/2006/relationships/hyperlink" Id="rId64" Target="http://company.cnstock.com/company/scp_gsxw/201612/3988160.htm" TargetMode="External" /><Relationship Type="http://schemas.openxmlformats.org/officeDocument/2006/relationships/hyperlink" Id="rId67" Target="http://company.stcn.com/2016/1228/12995496.shtml" TargetMode="External" /><Relationship Type="http://schemas.openxmlformats.org/officeDocument/2006/relationships/hyperlink" Id="rId70" Target="http://company.stcn.com/2016/1228/12996660.shtml" TargetMode="External" /><Relationship Type="http://schemas.openxmlformats.org/officeDocument/2006/relationships/hyperlink" Id="rId73" Target="http://ggjd.cnstock.com/company/scp_ggjd/tjd_bbdj/201612/3987687.htm" TargetMode="External" /><Relationship Type="http://schemas.openxmlformats.org/officeDocument/2006/relationships/hyperlink" Id="rId41" Target="http://gss.mof.gov.cn/zhengwuxinxi/zhengcefabu/201612/t20161223_2498029.html" TargetMode="External" /><Relationship Type="http://schemas.openxmlformats.org/officeDocument/2006/relationships/hyperlink" Id="rId49" Target="http://gss.mof.gov.cn/zhengwuxinxi/zhengcefabu/201612/t20161223_2498526.html" TargetMode="External" /><Relationship Type="http://schemas.openxmlformats.org/officeDocument/2006/relationships/hyperlink" Id="rId76" Target="http://kuaixun.stcn.com/2016/1230/12999609.shtml" TargetMode="External" /><Relationship Type="http://schemas.openxmlformats.org/officeDocument/2006/relationships/hyperlink" Id="rId57" Target="http://news.cnstock.com/theme/201612/3987719.htm" TargetMode="External" /><Relationship Type="http://schemas.openxmlformats.org/officeDocument/2006/relationships/hyperlink" Id="rId38" Target="http://news.sina.com.cn/o/2016-12-26/doc-ifxyxvcr7603258.shtml" TargetMode="External" /><Relationship Type="http://schemas.openxmlformats.org/officeDocument/2006/relationships/hyperlink" Id="rId60" Target="http://news.xinhuanet.com/politics/2016-12/27/c_1120197602.htm" TargetMode="External" /><Relationship Type="http://schemas.openxmlformats.org/officeDocument/2006/relationships/hyperlink" Id="rId21" Target="http://www.charltonslaw.com.cn/china-news-alerts-cn-issue-525/" TargetMode="External" /><Relationship Type="http://schemas.openxmlformats.org/officeDocument/2006/relationships/hyperlink" Id="rId54" Target="http://www.chinalawinfo.com/News/NewsFullText.aspx?NewsId=83845&amp;NewsType=1" TargetMode="External" /><Relationship Type="http://schemas.openxmlformats.org/officeDocument/2006/relationships/hyperlink" Id="rId28" Target="http://www.nafmii.org.cn/zdgz/201612/t20161213_58625.html" TargetMode="External" /><Relationship Type="http://schemas.openxmlformats.org/officeDocument/2006/relationships/hyperlink" Id="rId31" Target="http://www.sse.com.cn/aboutus/mediacenter/hotandd/c/c_20161227_4220818.shtml" TargetMode="External" /><Relationship Type="http://schemas.openxmlformats.org/officeDocument/2006/relationships/hyperlink" Id="rId25" Target="http://www.stcn.com/2016/1227/12993583.shtml" TargetMode="External" /><Relationship Type="http://schemas.openxmlformats.org/officeDocument/2006/relationships/hyperlink" Id="rId34" Target="http://www.stcn.com/2016/1229/12997067.shtml" TargetMode="External" /><Relationship Type="http://schemas.openxmlformats.org/officeDocument/2006/relationships/hyperlink" Id="rId77" Target="mailto:unsubscribe@charltonslaw.com?subject=unsubscribe%20%5B&#39321;&#28207;&#27861;&#24459;%5D" TargetMode="External" /></Relationships>
</file>

<file path=word/_rels/footnotes.xml.rels><?xml version="1.0" encoding="UTF-8"?>
<Relationships xmlns="http://schemas.openxmlformats.org/package/2006/relationships"><Relationship Type="http://schemas.openxmlformats.org/officeDocument/2006/relationships/hyperlink" Id="rId26" Target="1.pdf" TargetMode="External" /><Relationship Type="http://schemas.openxmlformats.org/officeDocument/2006/relationships/hyperlink" Id="rId61" Target="10.pdf" TargetMode="External" /><Relationship Type="http://schemas.openxmlformats.org/officeDocument/2006/relationships/hyperlink" Id="rId65" Target="11.pdf" TargetMode="External" /><Relationship Type="http://schemas.openxmlformats.org/officeDocument/2006/relationships/hyperlink" Id="rId68" Target="12.pdf" TargetMode="External" /><Relationship Type="http://schemas.openxmlformats.org/officeDocument/2006/relationships/hyperlink" Id="rId71" Target="13.pdf" TargetMode="External" /><Relationship Type="http://schemas.openxmlformats.org/officeDocument/2006/relationships/hyperlink" Id="rId74" Target="14.pdf" TargetMode="External" /><Relationship Type="http://schemas.openxmlformats.org/officeDocument/2006/relationships/hyperlink" Id="rId29" Target="2.pdf" TargetMode="External" /><Relationship Type="http://schemas.openxmlformats.org/officeDocument/2006/relationships/hyperlink" Id="rId32" Target="3.pdf" TargetMode="External" /><Relationship Type="http://schemas.openxmlformats.org/officeDocument/2006/relationships/hyperlink" Id="rId35" Target="4.pdf" TargetMode="External" /><Relationship Type="http://schemas.openxmlformats.org/officeDocument/2006/relationships/hyperlink" Id="rId39" Target="5.pdf" TargetMode="External" /><Relationship Type="http://schemas.openxmlformats.org/officeDocument/2006/relationships/hyperlink" Id="rId42" Target="6.pdf" TargetMode="External" /><Relationship Type="http://schemas.openxmlformats.org/officeDocument/2006/relationships/hyperlink" Id="rId43" Target="6a.pdf" TargetMode="External" /><Relationship Type="http://schemas.openxmlformats.org/officeDocument/2006/relationships/hyperlink" Id="rId44" Target="6b.pdf" TargetMode="External" /><Relationship Type="http://schemas.openxmlformats.org/officeDocument/2006/relationships/hyperlink" Id="rId45" Target="6c.pdf" TargetMode="External" /><Relationship Type="http://schemas.openxmlformats.org/officeDocument/2006/relationships/hyperlink" Id="rId46" Target="6d.pdf" TargetMode="External" /><Relationship Type="http://schemas.openxmlformats.org/officeDocument/2006/relationships/hyperlink" Id="rId47" Target="6e.pdf" TargetMode="External" /><Relationship Type="http://schemas.openxmlformats.org/officeDocument/2006/relationships/hyperlink" Id="rId50" Target="7.pdf" TargetMode="External" /><Relationship Type="http://schemas.openxmlformats.org/officeDocument/2006/relationships/hyperlink" Id="rId51" Target="7a.pdf" TargetMode="External" /><Relationship Type="http://schemas.openxmlformats.org/officeDocument/2006/relationships/hyperlink" Id="rId55" Target="8.pdf" TargetMode="External" /><Relationship Type="http://schemas.openxmlformats.org/officeDocument/2006/relationships/hyperlink" Id="rId58" Target="9.pdf" TargetMode="External" /><Relationship Type="http://schemas.openxmlformats.org/officeDocument/2006/relationships/hyperlink" Id="rId64" Target="http://company.cnstock.com/company/scp_gsxw/201612/3988160.htm" TargetMode="External" /><Relationship Type="http://schemas.openxmlformats.org/officeDocument/2006/relationships/hyperlink" Id="rId67" Target="http://company.stcn.com/2016/1228/12995496.shtml" TargetMode="External" /><Relationship Type="http://schemas.openxmlformats.org/officeDocument/2006/relationships/hyperlink" Id="rId70" Target="http://company.stcn.com/2016/1228/12996660.shtml" TargetMode="External" /><Relationship Type="http://schemas.openxmlformats.org/officeDocument/2006/relationships/hyperlink" Id="rId73" Target="http://ggjd.cnstock.com/company/scp_ggjd/tjd_bbdj/201612/3987687.htm" TargetMode="External" /><Relationship Type="http://schemas.openxmlformats.org/officeDocument/2006/relationships/hyperlink" Id="rId41" Target="http://gss.mof.gov.cn/zhengwuxinxi/zhengcefabu/201612/t20161223_2498029.html" TargetMode="External" /><Relationship Type="http://schemas.openxmlformats.org/officeDocument/2006/relationships/hyperlink" Id="rId49" Target="http://gss.mof.gov.cn/zhengwuxinxi/zhengcefabu/201612/t20161223_2498526.html" TargetMode="External" /><Relationship Type="http://schemas.openxmlformats.org/officeDocument/2006/relationships/hyperlink" Id="rId76" Target="http://kuaixun.stcn.com/2016/1230/12999609.shtml" TargetMode="External" /><Relationship Type="http://schemas.openxmlformats.org/officeDocument/2006/relationships/hyperlink" Id="rId57" Target="http://news.cnstock.com/theme/201612/3987719.htm" TargetMode="External" /><Relationship Type="http://schemas.openxmlformats.org/officeDocument/2006/relationships/hyperlink" Id="rId38" Target="http://news.sina.com.cn/o/2016-12-26/doc-ifxyxvcr7603258.shtml" TargetMode="External" /><Relationship Type="http://schemas.openxmlformats.org/officeDocument/2006/relationships/hyperlink" Id="rId60" Target="http://news.xinhuanet.com/politics/2016-12/27/c_1120197602.htm" TargetMode="External" /><Relationship Type="http://schemas.openxmlformats.org/officeDocument/2006/relationships/hyperlink" Id="rId21" Target="http://www.charltonslaw.com.cn/china-news-alerts-cn-issue-525/" TargetMode="External" /><Relationship Type="http://schemas.openxmlformats.org/officeDocument/2006/relationships/hyperlink" Id="rId54" Target="http://www.chinalawinfo.com/News/NewsFullText.aspx?NewsId=83845&amp;NewsType=1" TargetMode="External" /><Relationship Type="http://schemas.openxmlformats.org/officeDocument/2006/relationships/hyperlink" Id="rId28" Target="http://www.nafmii.org.cn/zdgz/201612/t20161213_58625.html" TargetMode="External" /><Relationship Type="http://schemas.openxmlformats.org/officeDocument/2006/relationships/hyperlink" Id="rId31" Target="http://www.sse.com.cn/aboutus/mediacenter/hotandd/c/c_20161227_4220818.shtml" TargetMode="External" /><Relationship Type="http://schemas.openxmlformats.org/officeDocument/2006/relationships/hyperlink" Id="rId25" Target="http://www.stcn.com/2016/1227/12993583.shtml" TargetMode="External" /><Relationship Type="http://schemas.openxmlformats.org/officeDocument/2006/relationships/hyperlink" Id="rId34" Target="http://www.stcn.com/2016/1229/12997067.shtml" TargetMode="External" /><Relationship Type="http://schemas.openxmlformats.org/officeDocument/2006/relationships/hyperlink" Id="rId77" Target="mailto:unsubscribe@charltonslaw.com?subject=unsubscribe%20%5B&#39321;&#28207;&#27861;&#24459;%5D"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36</TotalTime>
  <Pages>1</Pages>
  <Words>204</Words>
  <Characters>1164</Characters>
  <Application>Microsoft Macintosh Word</Application>
  <DocSecurity>0</DocSecurity>
  <Lines>9</Lines>
  <Paragraphs>2</Paragraphs>
  <ScaleCrop>false</ScaleCrop>
  <Company>Forscientia Limited</Company>
  <LinksUpToDate>false</LinksUpToDate>
  <CharactersWithSpaces>1366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易周律师行 - 法讯 - 中国 - 第525期 - 2016年12月30日</dc:title>
  <dc:creator/>
</cp:coreProperties>
</file>