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第527期</w:t>
      </w:r>
      <w:r>
        <w:t xml:space="preserve"> </w:t>
      </w:r>
      <w:r>
        <w:t xml:space="preserve">-</w:t>
      </w:r>
      <w:r>
        <w:t xml:space="preserve"> </w:t>
      </w:r>
      <w:r>
        <w:t xml:space="preserve">2017年01月13日</w:t>
      </w:r>
    </w:p>
    <w:p>
      <w:hyperlink r:id="rId21">
        <w:r>
          <w:rPr>
            <w:rStyle w:val="Link"/>
          </w:rPr>
          <w:t xml:space="preserve">网络版</w:t>
        </w:r>
      </w:hyperlink>
    </w:p>
    <w:p>
      <w:pPr>
        <w:pStyle w:val="Heading1"/>
      </w:pPr>
      <w:bookmarkStart w:id="22" w:name="深圳证券交易所中关村创新创业企业上市培育基地正式启用"/>
      <w:bookmarkEnd w:id="22"/>
      <w:r>
        <w:t xml:space="preserve">深圳证券交易所：中关村创新创业企业上市培育基地正式启用</w:t>
      </w:r>
    </w:p>
    <w:p>
      <w:pPr>
        <w:pStyle w:val="Heading2"/>
      </w:pPr>
      <w:bookmarkStart w:id="23" w:name="资本市场"/>
      <w:bookmarkEnd w:id="23"/>
      <w:r>
        <w:t xml:space="preserve">资本市场</w:t>
      </w:r>
    </w:p>
    <w:p>
      <w:pPr>
        <w:pStyle w:val="Heading3"/>
      </w:pPr>
      <w:bookmarkStart w:id="24" w:name="深圳证券交易所中关村创新创业企业上市培育基地正式启用-1"/>
      <w:bookmarkEnd w:id="24"/>
      <w:r>
        <w:t xml:space="preserve">深圳证券交易所：中关村创新创业企业上市培育基地正式启用</w:t>
      </w:r>
    </w:p>
    <w:p>
      <w:r>
        <w:t xml:space="preserve">2017年1月10日上午，深圳证券交易所、北京市金融工作局、中关村管委会、海淀区政府、中关村股权交易服务集团共同举办中关村创新创业企业上市培育基地启用仪式。 中关村基地是深圳证券交易所首次在深圳以外设立的上市培育基地，是加强金融领域供给侧结构性改革的一次重要探索。建设中关村基地，是深圳证券交易所不断延伸创新创业服务链条、整合创新创业服务资源、深化资本市场对实体经济服务功能一次新的探索。</w:t>
      </w:r>
    </w:p>
    <w:p>
      <w:r>
        <w:t xml:space="preserve">截至2016年12月31日，深市上市公司1870家，国家级高新科技企业占比超过70%。其中创业板最为突出，国家高新技术企业占比达到92%，战略新兴行业占比超过70%，平均科研投入占比5.35%。在这个过程中，深圳证券交易所与中关村保持了长期的、紧密的合作关系，中关村在深圳证券交易所上市的企业达到144家，其中在创业板上市的86家，是全国各地创业板上市公司最多的区域，形成了一个特色鲜明的中关村板块。此外，97家中关村上市公司纳入了深股通标的股。深圳证券交易所将依托中关村基地，以支持创新创业为重点，发挥基地市场培育、联络沟通、信息调研、对外展示、远程交流、辐射周边六大功能，建成立足北京、辐射周边的综合性服务平台，为市场参与方提供一体化、专业化、在地化服务。</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深圳证券交易所中关村民企60指数发布"/>
      <w:bookmarkEnd w:id="27"/>
      <w:r>
        <w:t xml:space="preserve">深圳证券交易所：中关村民企60指数发布</w:t>
      </w:r>
    </w:p>
    <w:p>
      <w:r>
        <w:t xml:space="preserve">深圳证券交易所和深圳证券信息有限公司日前宣布，于 2017年 1 月 10日发布深证中关村民企60指数。该指数以2008年12月31日为基日，1000点为基点。</w:t>
      </w:r>
    </w:p>
    <w:p>
      <w:r>
        <w:t xml:space="preserve">深证中关村民企60指数是以深市A股中在中关村园区范围内注册的民营企业为样本空间，以总市值、自由流通市值和成交金额占市场比重作为筛选指标，选取排名前60的股票组成指数样本股。该指数采用自由流通市值加权，并于每年1月与7月实施样本股定期调整。该指数为中关村上市公司协会、深圳证券信息有限公司联合开发，编制方案兼顾中关村民营企业的代表性、收益性与可投资性，建立了反映深市中关村民营上市企业表现的标尺，为投资者提供了分享相关企业发展红利的良好工具。</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最高人民法院发布关于为自由贸易试验区建设提供司法保障的意见"/>
      <w:bookmarkEnd w:id="30"/>
      <w:r>
        <w:t xml:space="preserve">最高人民法院发布《关于为自由贸易试验区建设提供司法保障的意见》</w:t>
      </w:r>
    </w:p>
    <w:p>
      <w:r>
        <w:t xml:space="preserve">2016年1月9日上午，最高人民法院召开新闻发布会，公布了《关于为自由贸易试验区建设提供司法保障的意见》（以下简称《意见》）。</w:t>
      </w:r>
    </w:p>
    <w:p>
      <w:r>
        <w:t xml:space="preserve">《意见》充分尊重当事人对管辖和法律适用的约定，依法维护合同效力，依法支持融资租赁、跨境电子商务等行业创新性经营模式。《意见》中指出，合同约定消费者个人承担关税和邮寄风险的，可认定消费者和跨境电商企业之间成立委托合同关系。电商企业批量进口、分批销售，消费者主张其与电商企业之间成立买卖合同关系的，人民法院应予支持。另外，《意见》支持在自贸试验区建立多元化纠纷解决机制，鼓励各级人民法院在总结审判经验的基础上形成符合涉自贸试验区案件特点的审判机制。《意见》还就正确认定仲裁协议效力、探索审判程序创新、建立合理的外国法查明机制等方面作出规定。</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银监会印发关于民营银行监管的指导意见"/>
      <w:bookmarkEnd w:id="33"/>
      <w:r>
        <w:t xml:space="preserve">银监会印发《关于民营银行监管的指导意见》</w:t>
      </w:r>
    </w:p>
    <w:p>
      <w:r>
        <w:t xml:space="preserve">为贯彻落实《关于促进民营银行发展的指导意见》，形成规制统一、权责明晰、运转协调、安全高效的民营银行监管体系，切实促进民营银行依法合规经营、科学稳健发展，近日,银监会印发《关于民营银行监管的指导意见》（以下简称《指导意见》）。</w:t>
      </w:r>
    </w:p>
    <w:p>
      <w:r>
        <w:t xml:space="preserve">《指导意见》提出了民营监管工作的总体要求，具体要求包括以下几点：一是明确发展定位。坚持金融服务实体经济的总要求，突出民营银行有别于传统银行的发展特色，要求民营银行明确差异化发展战略，坚持特色经营，提高普惠金融服务水平。二是推动创新发展。坚持鼓励与规范并重，支持民营银行开展业务、服务、流程和管理创新。三是强化审慎监管。针对民营银行关联交易管理、股权管理、股东监管等重点领域提出监管要求，强化银行自我约束、市场约束和监管约束。四是落实监管责任。明确属地监管责任，加强监管联动，提高市场准入、非现场监管和现场检查等日常监管工作须要有效性。</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票据交易主协议正式发布并施行"/>
      <w:bookmarkEnd w:id="36"/>
      <w:r>
        <w:t xml:space="preserve">票据交易主协议正式发布并施行</w:t>
      </w:r>
    </w:p>
    <w:p>
      <w:r>
        <w:t xml:space="preserve">为保障票据交易顺利开展，维护市场参与者合法权益，上海票据交易所股份有限公司（以下简称“票交所”）、中国银行间市场交易商协会（以下简称“交易商协会”）于近期组织市场成员制定了《票据交易主协议（2016年版）》（以下简称《主协议》），经中国人民银行同意，予以公布施行。</w:t>
      </w:r>
    </w:p>
    <w:p>
      <w:r>
        <w:t xml:space="preserve">《主协议》为开放式协议，采用多边签署模式，在签署方有效签署《主协议》后，《主协议》即在该签署方与其他各签署方之间生效。中国票据交易系统（一期）试点机构应当在2017年1月20日前完成《主协议》签署；其他机构应当在申请票交所会员资格前完成《主协议》签署。市场参与者应当将签署后的《主协议》及时向票交所和交易商协会备案。另外，资产管理人应当为其管理的开展票据交易的非法人产品签署《主协议》，并提交票交所和交易商协会备案。资产管理人应当在《主协议》签署页注明非法人产品全称并加盖资产管理人机构公章。</w:t>
      </w:r>
    </w:p>
    <w:p>
      <w:hyperlink r:id="rId37">
        <w:r>
          <w:rPr>
            <w:rStyle w:val="Link"/>
          </w:rPr>
          <w:t xml:space="preserve">来源</w:t>
        </w:r>
      </w:hyperlink>
      <w:r>
        <w:t xml:space="preserve"> </w:t>
      </w:r>
      <w:r>
        <w:t xml:space="preserve">(</w:t>
      </w:r>
      <w:hyperlink r:id="rId38">
        <w:r>
          <w:rPr>
            <w:rStyle w:val="Link"/>
          </w:rPr>
          <w:t xml:space="preserve">副本</w:t>
        </w:r>
      </w:hyperlink>
      <w:r>
        <w:t xml:space="preserve">) (</w:t>
      </w:r>
      <w:hyperlink r:id="rId39">
        <w:r>
          <w:rPr>
            <w:rStyle w:val="Link"/>
          </w:rPr>
          <w:t xml:space="preserve">副本</w:t>
        </w:r>
      </w:hyperlink>
      <w:r>
        <w:t xml:space="preserve">)</w:t>
      </w:r>
    </w:p>
    <w:p>
      <w:pPr>
        <w:pStyle w:val="Heading3"/>
      </w:pPr>
      <w:bookmarkStart w:id="40" w:name="直销银行发展裂变首张独立法人牌照呱呱坠地"/>
      <w:bookmarkEnd w:id="40"/>
      <w:r>
        <w:t xml:space="preserve">直销银行发展裂变：首张独立法人牌照“呱呱坠地”</w:t>
      </w:r>
    </w:p>
    <w:p>
      <w:r>
        <w:t xml:space="preserve">百信银行在历经一年多的监管审核后最终获批，这也是中国首张独立法人直销银行牌照。自此，国内银行参与直销银行业务的路径正式分化——独立分拆法人化模式和总行部制模式并行。</w:t>
      </w:r>
    </w:p>
    <w:p>
      <w:r>
        <w:t xml:space="preserve">直销银行是互联网时代下传统银行推出的一种新型服务模式，以金融科技为支撑，降低成本、提高效率和扩大覆盖面。简单来说，直销银行就是不依赖物理网点和柜台，银行没有网点，不发放实体银行卡，所有业务均通过电脑、手机和电话等远程渠道完成，满足了消费者随时随地的金融服务需求。业务形态上，独立法人化载体的直销银行，可承载的创新金融探讨余地显然更大。而在信用卡、理财、资管等模式都在探讨法人化路径的眼下，直销银行的分拆步伐可能更快。</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3"/>
      </w:pPr>
      <w:bookmarkStart w:id="43" w:name="中国人民银行稳健中性货币政策重在加强预期引导"/>
      <w:bookmarkEnd w:id="43"/>
      <w:r>
        <w:t xml:space="preserve">中国人民银行：稳健中性货币政策重在加强预期引导</w:t>
      </w:r>
    </w:p>
    <w:p>
      <w:r>
        <w:t xml:space="preserve">日前召开的2017年中国人民银行工作会议指出，保持货币政策稳健中性，加强预期引导，全面做好稳增长、促改革、调结构、惠民生、防风险各项工作，促进经济金融平稳健康发展。从上述部署可以看到，稳健中性的货币政策，目标是促进经济金融平稳健康发展，任务是全面做好各项工作，关键是要加强预期引导。其中，加强预期引导，或将成为新一年稳健中性货币政策的重中之重。</w:t>
      </w:r>
    </w:p>
    <w:p>
      <w:r>
        <w:t xml:space="preserve">加强预期引导，是保持人民币汇率在合理均衡水平上基本稳定的需要。此前一段时间，人民币对美元汇率出现波动，其背后有一系列外部意外因素叠加的影响，是更为市场化的汇率形成机制的表现，但也不排除夹杂一些非理性预期的成分，部分公众有盲目跟风的行为。在这种情况下，积极引导和稳定市场各方对未来人民币汇率的预期，避免不必要的“羊群效应”，具有重要意义。</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2"/>
      </w:pPr>
      <w:bookmarkStart w:id="46" w:name="税收"/>
      <w:bookmarkEnd w:id="46"/>
      <w:r>
        <w:t xml:space="preserve">税收</w:t>
      </w:r>
    </w:p>
    <w:p>
      <w:pPr>
        <w:pStyle w:val="Heading3"/>
      </w:pPr>
      <w:bookmarkStart w:id="47" w:name="三部门发布在我国海洋开采石油进口物资免征进口税的通知"/>
      <w:bookmarkEnd w:id="47"/>
      <w:r>
        <w:t xml:space="preserve">三部门发布在我国海洋开采石油进口物资免征进口税的通知</w:t>
      </w:r>
    </w:p>
    <w:p>
      <w:r>
        <w:t xml:space="preserve">为支持我国海洋石油的勘探开发，财政部、海关总署和国家税务总局三部门近期联合发布了《关于“十三五”期间在我国海洋开采石油（天然气）进口物资税收政策通知》（以下简称《通知》）。</w:t>
      </w:r>
    </w:p>
    <w:p>
      <w:r>
        <w:t xml:space="preserve">《通知》明确，自2016年1月1日至2020年12月31日，在我国海洋进行石油（天然气）开采作业的项目，进口国内不能生产或性能不能满足要求，并直接用于开采作业的设备、仪器、零附件、专用工具，在规定的免税进口额度内，免征进口关税和进口环节增值税。《通知》还规定，符合本《通知》规定的石油（天然气）开采项目项下暂时进口《免税物资清单》所列的物资，准予免税。有关物资进口时，海关按暂时进口货物办理手续。上述暂时进口物资超出海关规定的暂时进口时限仍需继续使用的，经海关审核确认可予延期。</w:t>
      </w:r>
    </w:p>
    <w:p>
      <w:hyperlink r:id="rId48">
        <w:r>
          <w:rPr>
            <w:rStyle w:val="Link"/>
          </w:rPr>
          <w:t xml:space="preserve">来源</w:t>
        </w:r>
      </w:hyperlink>
      <w:r>
        <w:t xml:space="preserve"> </w:t>
      </w:r>
      <w:r>
        <w:t xml:space="preserve">(</w:t>
      </w:r>
      <w:hyperlink r:id="rId49">
        <w:r>
          <w:rPr>
            <w:rStyle w:val="Link"/>
          </w:rPr>
          <w:t xml:space="preserve">副本</w:t>
        </w:r>
      </w:hyperlink>
      <w:r>
        <w:t xml:space="preserve">) (</w:t>
      </w:r>
      <w:hyperlink r:id="rId50">
        <w:r>
          <w:rPr>
            <w:rStyle w:val="Link"/>
          </w:rPr>
          <w:t xml:space="preserve">副本</w:t>
        </w:r>
      </w:hyperlink>
      <w:r>
        <w:t xml:space="preserve">) (</w:t>
      </w:r>
      <w:hyperlink r:id="rId51">
        <w:r>
          <w:rPr>
            <w:rStyle w:val="Link"/>
          </w:rPr>
          <w:t xml:space="preserve">副本</w:t>
        </w:r>
      </w:hyperlink>
      <w:r>
        <w:t xml:space="preserve">) (</w:t>
      </w:r>
      <w:hyperlink r:id="rId52">
        <w:r>
          <w:rPr>
            <w:rStyle w:val="Link"/>
          </w:rPr>
          <w:t xml:space="preserve">副本</w:t>
        </w:r>
      </w:hyperlink>
      <w:r>
        <w:t xml:space="preserve">) (</w:t>
      </w:r>
      <w:hyperlink r:id="rId53">
        <w:r>
          <w:rPr>
            <w:rStyle w:val="Link"/>
          </w:rPr>
          <w:t xml:space="preserve">副本</w:t>
        </w:r>
      </w:hyperlink>
      <w:r>
        <w:t xml:space="preserve">)</w:t>
      </w:r>
    </w:p>
    <w:p>
      <w:pPr>
        <w:pStyle w:val="Heading2"/>
      </w:pPr>
      <w:bookmarkStart w:id="54" w:name="保险"/>
      <w:bookmarkEnd w:id="54"/>
      <w:r>
        <w:t xml:space="preserve">保险</w:t>
      </w:r>
    </w:p>
    <w:p>
      <w:pPr>
        <w:pStyle w:val="Heading3"/>
      </w:pPr>
      <w:bookmarkStart w:id="55" w:name="保监会发布保险公司合规管理办法"/>
      <w:bookmarkEnd w:id="55"/>
      <w:r>
        <w:t xml:space="preserve">保监会发布《保险公司合规管理办法》</w:t>
      </w:r>
    </w:p>
    <w:p>
      <w:r>
        <w:t xml:space="preserve">为进一步健全保险监管制度体系，加强和改善保险公司合规管理工作，提高保险业依法合规经营水平，中国保监会近日发布《保险公司合规管理办法》（以下简称《办法》），结合近年来保险市场发展的情况以及相关保险监管规则的变化，对《保险公司合规管理指引》进行了修订，并将于2017年7月1日起施行。</w:t>
      </w:r>
    </w:p>
    <w:p>
      <w:r>
        <w:t xml:space="preserve">《办法》明确要求，保险公司申请核准任职资格的合规负责人由总经理以外的其他高级管理人员兼任的，须提供拟任合规负责人任职期间不兼管业务、财务、资金运用和内部审计部门等可能与合规管理存在职责冲突的部门的声明。保险公司应当按照规定建立健全合规管理制度，完善合规管理组织架构，明确合规管理责任，构建合规管理体系，推动合规文化建设，有效识别并积极主动防范、化解合规风险，确保公司稳健运营。保险集团（控股）公司应当建立集团整体的合规管理体系，加强对全集团合规管理的规划、领导和监督，提高集团整体合规管理水平。</w:t>
      </w:r>
    </w:p>
    <w:p>
      <w:hyperlink r:id="rId56">
        <w:r>
          <w:rPr>
            <w:rStyle w:val="Link"/>
          </w:rPr>
          <w:t xml:space="preserve">来源</w:t>
        </w:r>
      </w:hyperlink>
      <w:r>
        <w:t xml:space="preserve"> </w:t>
      </w:r>
      <w:r>
        <w:t xml:space="preserve">(</w:t>
      </w:r>
      <w:hyperlink r:id="rId57">
        <w:r>
          <w:rPr>
            <w:rStyle w:val="Link"/>
          </w:rPr>
          <w:t xml:space="preserve">副本</w:t>
        </w:r>
      </w:hyperlink>
      <w:r>
        <w:t xml:space="preserve">)</w:t>
      </w:r>
    </w:p>
    <w:p>
      <w:pPr>
        <w:pStyle w:val="Heading2"/>
      </w:pPr>
      <w:bookmarkStart w:id="58" w:name="行业"/>
      <w:bookmarkEnd w:id="58"/>
      <w:r>
        <w:t xml:space="preserve">行业</w:t>
      </w:r>
    </w:p>
    <w:p>
      <w:pPr>
        <w:pStyle w:val="Heading3"/>
      </w:pPr>
      <w:bookmarkStart w:id="59" w:name="四部门联合印发关于发展涉外法律服务业的意见"/>
      <w:bookmarkEnd w:id="59"/>
      <w:r>
        <w:t xml:space="preserve">四部门联合印发《关于发展涉外法律服务业的意见》</w:t>
      </w:r>
    </w:p>
    <w:p>
      <w:r>
        <w:t xml:space="preserve">司法部、外交部、商务部、国务院法制办公室日前印发了《关于发展涉外法律服务业的意见》（以下简称《意见》），对发展涉外法律服务业作出全面部署。</w:t>
      </w:r>
    </w:p>
    <w:p>
      <w:r>
        <w:t xml:space="preserve">《意见》提出了4个方面的任务。一是为“一带一路”等国家重大发展战略提供法律服务。积极参与交通、能源、通信等基础设施重大工程、重大项目的立项、招投标等活动，提供法律服务，防范投资风险。二是为中国企业和公民“走出去”提供法律服务。鼓励和支持法律服务机构和人员参与中国企业和公民“走出去”法律事务。三是为我国外交工作大局提供法律服务。积极为我国对外签订双边、多边条约等提供法律服务，提升我国在国际法律事务中的话语权和影响力。四是为打击跨国犯罪和追逃追赃工作提供法律服务。推动在打击跨国犯罪、毒品、洗钱和反腐、反恐等领域的务实合作，依据国际规则和双边条约提供法律服务。</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Heading3"/>
      </w:pPr>
      <w:bookmarkStart w:id="62" w:name="海洋局与统计局签署战略合作协议"/>
      <w:bookmarkEnd w:id="62"/>
      <w:r>
        <w:t xml:space="preserve">海洋局与统计局签署战略合作协议</w:t>
      </w:r>
    </w:p>
    <w:p>
      <w:r>
        <w:t xml:space="preserve">国家海洋局和国家统计局近期在京召开促进海洋经济可持续发展战略合作座谈会。国家海洋局党组书记、局长王宏，国家统计局党组书记、局长宁吉喆出席并签署了《国家海洋局、国家统计局促进海洋经济可持续发展战略合作协议》（以下简称《协议》）。这标志着双方在海洋经济领域的合作进入全面深化的新阶段。</w:t>
      </w:r>
    </w:p>
    <w:p>
      <w:r>
        <w:t xml:space="preserve">《协议》的签署以促进海洋经济可持续发展和建立完善现代统计调查体系为结合点，有利于切实提高海洋经济运行监测与评估能力，服务保障我国海洋经济可持续健康发展，推动海洋经济成为国民经济的新动能。另外，《协议》的签署是海洋局与统计局全面贯彻落实“十三五”规划纲要关于“拓展蓝色经济空间”“壮大海洋经济”和“建立现代统计调查体系，推进统计调查制度、机制、方法创新，注重运用互联网、统计云、大数据技术，提高经济运行信息及时性、全面性和准确性”部署的重要举措。</w:t>
      </w:r>
    </w:p>
    <w:p>
      <w:hyperlink r:id="rId63">
        <w:r>
          <w:rPr>
            <w:rStyle w:val="Link"/>
          </w:rPr>
          <w:t xml:space="preserve">来源</w:t>
        </w:r>
      </w:hyperlink>
      <w:r>
        <w:t xml:space="preserve"> </w:t>
      </w:r>
      <w:r>
        <w:t xml:space="preserve">(</w:t>
      </w:r>
      <w:hyperlink r:id="rId64">
        <w:r>
          <w:rPr>
            <w:rStyle w:val="Link"/>
          </w:rPr>
          <w:t xml:space="preserve">副本</w:t>
        </w:r>
      </w:hyperlink>
      <w:r>
        <w:t xml:space="preserve">)</w:t>
      </w:r>
    </w:p>
    <w:p>
      <w:pPr>
        <w:pStyle w:val="Heading2"/>
      </w:pPr>
      <w:bookmarkStart w:id="65" w:name="并购"/>
      <w:bookmarkEnd w:id="65"/>
      <w:r>
        <w:t xml:space="preserve">并购</w:t>
      </w:r>
    </w:p>
    <w:p>
      <w:pPr>
        <w:pStyle w:val="Heading3"/>
      </w:pPr>
      <w:bookmarkStart w:id="66" w:name="阿里巴巴拟以巨资收购银泰商业"/>
      <w:bookmarkEnd w:id="66"/>
      <w:r>
        <w:t xml:space="preserve">阿里巴巴拟以巨资收购银泰商业</w:t>
      </w:r>
    </w:p>
    <w:p>
      <w:r>
        <w:t xml:space="preserve">2017年1月10日，阿里巴巴集团控股有限公司全资子公司Alibaba Investment Limited宣布，其联同银泰商业（集团）有限公司创始人沈国军的全资公司（以下合称“联合要约方”），要求银泰董事会向其股东提呈有关通过协议安排私有化银泰的建议。完成建议交易所需的最大现金金额约为198亿港元，约合177亿元人民币，联合要约方正以内部现金资源或外部债务融资支付交易所需款项。此次建议交易待惯例完成条件达成后方可作实，包括获得银泰独立股东以及开曼群岛大法院的批准。</w:t>
      </w:r>
    </w:p>
    <w:p>
      <w:r>
        <w:t xml:space="preserve">根据建议的交易，阿里巴巴将成为银泰的控股股东，持股比例预计增至约74%，联合要约方将就每股计划股份支付10.00港元，较其最后60个交易日的平均收市价溢价约53.59%，较2016年12月28日停牌前最后交易日的收市价每股7.03港元溢价约42.25%。就在提出要约收购之际，阿里巴巴集团首席执行官张勇再次抛出“新零售”概念，他表示，阿里巴巴正与线下零售商共同重构传统业态，创新用户消费体验，用实际行动拥抱新零售所带来的长期发展机遇。</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3"/>
      </w:pPr>
      <w:bookmarkStart w:id="69" w:name="中信联合凯雷收购麦当劳中国业务估值160亿港元"/>
      <w:bookmarkEnd w:id="69"/>
      <w:r>
        <w:t xml:space="preserve">中信联合凯雷收购麦当劳中国业务,估值160亿港元</w:t>
      </w:r>
    </w:p>
    <w:p>
      <w:r>
        <w:t xml:space="preserve">中信股份2017年1月9日午间在港交所发布公告，中信董事会宣布，中信、中信资本和凯雷拟通过Grand Foods Investment Holdings Limited（“买方”，作为公司的间接非全资附属公司）收购麦当劳中国大陆和香港业务之控制权益，以最高20.8亿美元（约合161.41亿港元）的总对价收购麦当劳中国管理有限公司的全部已发行股本。</w:t>
      </w:r>
    </w:p>
    <w:p>
      <w:r>
        <w:t xml:space="preserve">中信股份在公告中称，消费需求将成为未来拉动中国经济增长的重要动力，此次交易是中信布局消费领域所跨出的切实一步，也是中信践行金融与实业较均衡发展战略的又一举措。同时，与麦当劳合作也能更好地发挥双方业务的协同效应。麦当劳庞大的网络和消费群体是不可多得的资源，将有助于中信业务的未来发展。</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3"/>
      </w:pPr>
      <w:bookmarkStart w:id="72" w:name="华为与陕西省政府签署战略合作协议攻占中西部数据资源"/>
      <w:bookmarkEnd w:id="72"/>
      <w:r>
        <w:t xml:space="preserve">华为与陕西省政府签署战略合作协议，攻占中西部数据资源</w:t>
      </w:r>
    </w:p>
    <w:p>
      <w:r>
        <w:t xml:space="preserve">日前，华为总裁任正非来到陕西，与陕西主要官员进行了会面。会见后，华为与陕西省政府签署了战略合作协议，根据协议，双方将在大数据及云计算产业、新型智慧城市建设、企业管理与文化等方面加强合作，共同推进陕西产业转型升级，并确立了三大合作目标。</w:t>
      </w:r>
    </w:p>
    <w:p>
      <w:r>
        <w:t xml:space="preserve">据一位华为内部人士称，目前华为有三个技术中心在陕西省省会西安，分别是华为西安全球交换技术中心、华为西安智能终端中心、华为西安海思半导体研发中心，此次华为与陕西省签约打造新的国家大数据高地，是出于华为在陕西有丰富的人才资源贮备。内部知情人士透露，继2015年11月华为与贵州省政府签约后，在2017年1月的第一个周，华为先后与四川省政府、陕西省政府签署战略合作，显示了华为在占领中西部市场方面的力度和速度。</w:t>
      </w:r>
    </w:p>
    <w:p>
      <w:hyperlink r:id="rId73">
        <w:r>
          <w:rPr>
            <w:rStyle w:val="Link"/>
          </w:rPr>
          <w:t xml:space="preserve">来源</w:t>
        </w:r>
      </w:hyperlink>
      <w:r>
        <w:t xml:space="preserve"> </w:t>
      </w:r>
      <w:r>
        <w:t xml:space="preserve">(</w:t>
      </w:r>
      <w:hyperlink r:id="rId74">
        <w:r>
          <w:rPr>
            <w:rStyle w:val="Link"/>
          </w:rPr>
          <w:t xml:space="preserve">副本</w:t>
        </w:r>
      </w:hyperlink>
      <w:r>
        <w:t xml:space="preserve">)</w:t>
      </w:r>
    </w:p>
    <w:p>
      <w:pPr>
        <w:pStyle w:val="Heading3"/>
      </w:pPr>
      <w:bookmarkStart w:id="75" w:name="大连国际逾3亿收购厦门瑞胜河北中联和常州金沃"/>
      <w:bookmarkEnd w:id="75"/>
      <w:r>
        <w:t xml:space="preserve">大连国际逾3亿收购厦门瑞胜、河北中联和常州金沃</w:t>
      </w:r>
    </w:p>
    <w:p>
      <w:r>
        <w:t xml:space="preserve">大连国际于2017年1月8日晚披露，子公司中广核俊尔拟以4947万元收购厦门瑞胜发51%股权，子公司高新核材拟以1.53亿元收购河北中联51%股权，另一家子公司中广核达胜则拟以1.1亿元收购常州金沃60%股权。三项股权收购将共计耗资3.12亿元。</w:t>
      </w:r>
    </w:p>
    <w:p>
      <w:r>
        <w:t xml:space="preserve">上述3家收购主体中广核俊尔、高新核材和中广核达胜刚刚在2016年通过资产重组被注入进大连国际。这几家公司在加速器生产制造、辐照加工应用以及高新材料等行业中具有国内领先的技术优势，相关公司的股权刚刚于2016年12月完成过户。据悉，厦门瑞胜是国内主要的照明领域改性塑料生产厂家之一、河北中联为国内领先的辐照交联线缆料生产企业、常州金沃是国内辐照改性领域收入规模最大的企业之一。国信证券在日前发布的研报中认为，未来大连国际大概率将承担起中广核集团质子、重离子治疗系统这一高端医疗设备的引进、消化和吸引等工作。</w:t>
      </w:r>
    </w:p>
    <w:p>
      <w:hyperlink r:id="rId76">
        <w:r>
          <w:rPr>
            <w:rStyle w:val="Link"/>
          </w:rPr>
          <w:t xml:space="preserve">来源</w:t>
        </w:r>
      </w:hyperlink>
      <w:r>
        <w:t xml:space="preserve"> </w:t>
      </w:r>
      <w:r>
        <w:t xml:space="preserve">(</w:t>
      </w:r>
      <w:hyperlink r:id="rId77">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8">
        <w:r>
          <w:rPr>
            <w:rStyle w:val="Link"/>
          </w:rPr>
          <w:t xml:space="preserve">unsubscribe@charltonslaw.com</w:t>
        </w:r>
      </w:hyperlink>
    </w:p>
    <w:p>
      <w:r>
        <w:rPr>
          <w:b/>
        </w:rPr>
        <w:t xml:space="preserve">易周律师行 - 法讯 - 中国 - 第527期 - 2017年01月13日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9320a95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www.charltonslaw.com.cn/china-news-alerts-cn-issue-527/" TargetMode="External" /><Relationship Type="http://schemas.openxmlformats.org/officeDocument/2006/relationships/hyperlink" Id="rId26" Target="1.pdf" TargetMode="External" /><Relationship Type="http://schemas.openxmlformats.org/officeDocument/2006/relationships/hyperlink" Id="rId61" Target="10.pdf" TargetMode="External" /><Relationship Type="http://schemas.openxmlformats.org/officeDocument/2006/relationships/hyperlink" Id="rId64" Target="11.pdf" TargetMode="External" /><Relationship Type="http://schemas.openxmlformats.org/officeDocument/2006/relationships/hyperlink" Id="rId68" Target="12.pdf" TargetMode="External" /><Relationship Type="http://schemas.openxmlformats.org/officeDocument/2006/relationships/hyperlink" Id="rId71" Target="13.pdf" TargetMode="External" /><Relationship Type="http://schemas.openxmlformats.org/officeDocument/2006/relationships/hyperlink" Id="rId74" Target="14.pdf" TargetMode="External" /><Relationship Type="http://schemas.openxmlformats.org/officeDocument/2006/relationships/hyperlink" Id="rId77"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39" Target="5a.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0" Target="8a.pdf" TargetMode="External" /><Relationship Type="http://schemas.openxmlformats.org/officeDocument/2006/relationships/hyperlink" Id="rId51" Target="8b.pdf" TargetMode="External" /><Relationship Type="http://schemas.openxmlformats.org/officeDocument/2006/relationships/hyperlink" Id="rId52" Target="8c.pdf" TargetMode="External" /><Relationship Type="http://schemas.openxmlformats.org/officeDocument/2006/relationships/hyperlink" Id="rId53" Target="8d.pdf" TargetMode="External" /><Relationship Type="http://schemas.openxmlformats.org/officeDocument/2006/relationships/hyperlink" Id="rId57" Target="9.pdf" TargetMode="External" /><Relationship Type="http://schemas.openxmlformats.org/officeDocument/2006/relationships/hyperlink" Id="rId67" Target="http://finance.ifeng.com/a/20170111/15136920_0.shtml" TargetMode="External" /><Relationship Type="http://schemas.openxmlformats.org/officeDocument/2006/relationships/hyperlink" Id="rId48" Target="http://gss.mof.gov.cn/zhengwuxinxi/zhengcefabu/201701/t20170106_2515641.html" TargetMode="External" /><Relationship Type="http://schemas.openxmlformats.org/officeDocument/2006/relationships/hyperlink" Id="rId70" Target="http://news.cnstock.com/news/sns_bwkx/201701/4000040.htm" TargetMode="External" /><Relationship Type="http://schemas.openxmlformats.org/officeDocument/2006/relationships/hyperlink" Id="rId56" Target="http://www.bj.xinhuanet.com/hbpd/jrpd/jrpd/2017-01/05/c_1120250066.htm" TargetMode="External" /><Relationship Type="http://schemas.openxmlformats.org/officeDocument/2006/relationships/hyperlink" Id="rId34" Target="http://www.cbrc.gov.cn/chinese/home/docView/94A26309FD344DE0883B1203B0B9F5F4.html" TargetMode="External" /><Relationship Type="http://schemas.openxmlformats.org/officeDocument/2006/relationships/hyperlink" Id="rId44" Target="http://www.chinaforex.com.cn/index.php/cms/item-view-id-42185.shtml" TargetMode="External" /><Relationship Type="http://schemas.openxmlformats.org/officeDocument/2006/relationships/hyperlink" Id="rId60" Target="http://www.chinalawinfo.com/News/NewsFullText.aspx?NewsId=83992&amp;NewsType=1" TargetMode="External" /><Relationship Type="http://schemas.openxmlformats.org/officeDocument/2006/relationships/hyperlink" Id="rId31" Target="http://www.chinalawinfo.com/News/NewsFullText.aspx?NewsId=84017&amp;NewsType=1" TargetMode="External" /><Relationship Type="http://schemas.openxmlformats.org/officeDocument/2006/relationships/hyperlink" Id="rId63" Target="http://www.gov.cn/xinwen/2017-01/08/content_5157637.htm" TargetMode="External" /><Relationship Type="http://schemas.openxmlformats.org/officeDocument/2006/relationships/hyperlink" Id="rId37" Target="http://www.nafmii.org.cn/zdgz/201612/t20161230_58775.html" TargetMode="External" /><Relationship Type="http://schemas.openxmlformats.org/officeDocument/2006/relationships/hyperlink" Id="rId41" Target="http://www.stcn.com/2017/0109/13008188.shtml" TargetMode="External" /><Relationship Type="http://schemas.openxmlformats.org/officeDocument/2006/relationships/hyperlink" Id="rId76" Target="http://www.stcn.com/2017/0109/13008220.shtml" TargetMode="External" /><Relationship Type="http://schemas.openxmlformats.org/officeDocument/2006/relationships/hyperlink" Id="rId73" Target="http://www.stcn.com/2017/0110/13009956.shtml" TargetMode="External" /><Relationship Type="http://schemas.openxmlformats.org/officeDocument/2006/relationships/hyperlink" Id="rId28" Target="http://www.szse.cn/main/aboutus/bsyw/39763145.shtml" TargetMode="External" /><Relationship Type="http://schemas.openxmlformats.org/officeDocument/2006/relationships/hyperlink" Id="rId25" Target="http://www.szse.cn/main/aboutus/bsyw/39763146.shtml" TargetMode="External" /><Relationship Type="http://schemas.openxmlformats.org/officeDocument/2006/relationships/hyperlink" Id="rId78"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1" Target="//www.charltonslaw.com.cn/china-news-alerts-cn-issue-527/" TargetMode="External" /><Relationship Type="http://schemas.openxmlformats.org/officeDocument/2006/relationships/hyperlink" Id="rId26" Target="1.pdf" TargetMode="External" /><Relationship Type="http://schemas.openxmlformats.org/officeDocument/2006/relationships/hyperlink" Id="rId61" Target="10.pdf" TargetMode="External" /><Relationship Type="http://schemas.openxmlformats.org/officeDocument/2006/relationships/hyperlink" Id="rId64" Target="11.pdf" TargetMode="External" /><Relationship Type="http://schemas.openxmlformats.org/officeDocument/2006/relationships/hyperlink" Id="rId68" Target="12.pdf" TargetMode="External" /><Relationship Type="http://schemas.openxmlformats.org/officeDocument/2006/relationships/hyperlink" Id="rId71" Target="13.pdf" TargetMode="External" /><Relationship Type="http://schemas.openxmlformats.org/officeDocument/2006/relationships/hyperlink" Id="rId74" Target="14.pdf" TargetMode="External" /><Relationship Type="http://schemas.openxmlformats.org/officeDocument/2006/relationships/hyperlink" Id="rId77"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39" Target="5a.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0" Target="8a.pdf" TargetMode="External" /><Relationship Type="http://schemas.openxmlformats.org/officeDocument/2006/relationships/hyperlink" Id="rId51" Target="8b.pdf" TargetMode="External" /><Relationship Type="http://schemas.openxmlformats.org/officeDocument/2006/relationships/hyperlink" Id="rId52" Target="8c.pdf" TargetMode="External" /><Relationship Type="http://schemas.openxmlformats.org/officeDocument/2006/relationships/hyperlink" Id="rId53" Target="8d.pdf" TargetMode="External" /><Relationship Type="http://schemas.openxmlformats.org/officeDocument/2006/relationships/hyperlink" Id="rId57" Target="9.pdf" TargetMode="External" /><Relationship Type="http://schemas.openxmlformats.org/officeDocument/2006/relationships/hyperlink" Id="rId67" Target="http://finance.ifeng.com/a/20170111/15136920_0.shtml" TargetMode="External" /><Relationship Type="http://schemas.openxmlformats.org/officeDocument/2006/relationships/hyperlink" Id="rId48" Target="http://gss.mof.gov.cn/zhengwuxinxi/zhengcefabu/201701/t20170106_2515641.html" TargetMode="External" /><Relationship Type="http://schemas.openxmlformats.org/officeDocument/2006/relationships/hyperlink" Id="rId70" Target="http://news.cnstock.com/news/sns_bwkx/201701/4000040.htm" TargetMode="External" /><Relationship Type="http://schemas.openxmlformats.org/officeDocument/2006/relationships/hyperlink" Id="rId56" Target="http://www.bj.xinhuanet.com/hbpd/jrpd/jrpd/2017-01/05/c_1120250066.htm" TargetMode="External" /><Relationship Type="http://schemas.openxmlformats.org/officeDocument/2006/relationships/hyperlink" Id="rId34" Target="http://www.cbrc.gov.cn/chinese/home/docView/94A26309FD344DE0883B1203B0B9F5F4.html" TargetMode="External" /><Relationship Type="http://schemas.openxmlformats.org/officeDocument/2006/relationships/hyperlink" Id="rId44" Target="http://www.chinaforex.com.cn/index.php/cms/item-view-id-42185.shtml" TargetMode="External" /><Relationship Type="http://schemas.openxmlformats.org/officeDocument/2006/relationships/hyperlink" Id="rId60" Target="http://www.chinalawinfo.com/News/NewsFullText.aspx?NewsId=83992&amp;NewsType=1" TargetMode="External" /><Relationship Type="http://schemas.openxmlformats.org/officeDocument/2006/relationships/hyperlink" Id="rId31" Target="http://www.chinalawinfo.com/News/NewsFullText.aspx?NewsId=84017&amp;NewsType=1" TargetMode="External" /><Relationship Type="http://schemas.openxmlformats.org/officeDocument/2006/relationships/hyperlink" Id="rId63" Target="http://www.gov.cn/xinwen/2017-01/08/content_5157637.htm" TargetMode="External" /><Relationship Type="http://schemas.openxmlformats.org/officeDocument/2006/relationships/hyperlink" Id="rId37" Target="http://www.nafmii.org.cn/zdgz/201612/t20161230_58775.html" TargetMode="External" /><Relationship Type="http://schemas.openxmlformats.org/officeDocument/2006/relationships/hyperlink" Id="rId41" Target="http://www.stcn.com/2017/0109/13008188.shtml" TargetMode="External" /><Relationship Type="http://schemas.openxmlformats.org/officeDocument/2006/relationships/hyperlink" Id="rId76" Target="http://www.stcn.com/2017/0109/13008220.shtml" TargetMode="External" /><Relationship Type="http://schemas.openxmlformats.org/officeDocument/2006/relationships/hyperlink" Id="rId73" Target="http://www.stcn.com/2017/0110/13009956.shtml" TargetMode="External" /><Relationship Type="http://schemas.openxmlformats.org/officeDocument/2006/relationships/hyperlink" Id="rId28" Target="http://www.szse.cn/main/aboutus/bsyw/39763145.shtml" TargetMode="External" /><Relationship Type="http://schemas.openxmlformats.org/officeDocument/2006/relationships/hyperlink" Id="rId25" Target="http://www.szse.cn/main/aboutus/bsyw/39763146.shtml" TargetMode="External" /><Relationship Type="http://schemas.openxmlformats.org/officeDocument/2006/relationships/hyperlink" Id="rId78"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第527期 - 2017年01月13日</dc:title>
  <dc:creator/>
</cp:coreProperties>
</file>