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第528期</w:t>
      </w:r>
      <w:r>
        <w:t xml:space="preserve"> </w:t>
      </w:r>
      <w:r>
        <w:t xml:space="preserve">-</w:t>
      </w:r>
      <w:r>
        <w:t xml:space="preserve"> </w:t>
      </w:r>
      <w:r>
        <w:t xml:space="preserve">2017年01月20日</w:t>
      </w:r>
    </w:p>
    <w:p>
      <w:hyperlink r:id="rId21">
        <w:r>
          <w:rPr>
            <w:rStyle w:val="Link"/>
          </w:rPr>
          <w:t xml:space="preserve">网络版</w:t>
        </w:r>
      </w:hyperlink>
    </w:p>
    <w:p>
      <w:pPr>
        <w:pStyle w:val="Heading1"/>
      </w:pPr>
      <w:bookmarkStart w:id="22" w:name="国务院放宽银行证券等领域外资准入限制"/>
      <w:bookmarkEnd w:id="22"/>
      <w:r>
        <w:t xml:space="preserve">国务院：放宽银行证券等领域外资准入限制</w:t>
      </w:r>
    </w:p>
    <w:p>
      <w:pPr>
        <w:pStyle w:val="Heading2"/>
      </w:pPr>
      <w:bookmarkStart w:id="23" w:name="资本市场"/>
      <w:bookmarkEnd w:id="23"/>
      <w:r>
        <w:t xml:space="preserve">资本市场</w:t>
      </w:r>
    </w:p>
    <w:p>
      <w:pPr>
        <w:pStyle w:val="Heading3"/>
      </w:pPr>
      <w:bookmarkStart w:id="24" w:name="国务院放宽银行证券等领域外资准入限制-1"/>
      <w:bookmarkEnd w:id="24"/>
      <w:r>
        <w:t xml:space="preserve">国务院：放宽银行证券等领域外资准入限制</w:t>
      </w:r>
    </w:p>
    <w:p>
      <w:r>
        <w:t xml:space="preserve">国务院于2017年1月17日发布了《关于扩大对外开放积极利用外资若干措施的通知》（以下简称《通知》），对进一步做好利用外资工作作出部署。其中，放宽服务业、制造业、采矿业等领域外资准入限制，重点放宽银行类金融机构、证券公司、证券投资基金管理公司、期货公司、保险机构、保险中介机构外资准入限制。</w:t>
      </w:r>
    </w:p>
    <w:p>
      <w:r>
        <w:t xml:space="preserve">《通知》支持外资参与创新驱动发展战略实施、制造业转型升级和支持海外人才在华创业发展，放开会计审计、建筑设计、评级服务等领域外资准入限制，推进电信、互联网、文化、教育、交通运输等领域有序开放。《通知》明确，制造业重点取消轨道交通设备制造、摩托车制造、燃料乙醇生产、油脂加工等领域外资准入限制。采矿业放宽油页岩、油砂、页岩气等非常规油气以及矿产资源领域外资准入限制。石油、天然气领域对外合作项目由审批制改为备案制。外商投资企业和内资企业同等适用“中国制造2025”战略政策措施。</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海证券交易所发布上市公司信息披露监管问答"/>
      <w:bookmarkEnd w:id="27"/>
      <w:r>
        <w:t xml:space="preserve">上海证券交易所发布《上市公司信息披露监管问答》</w:t>
      </w:r>
    </w:p>
    <w:p>
      <w:r>
        <w:t xml:space="preserve">上海证券交易所于2017年1月15日对外发布《上市公司信息披露监管问答》（以下简称《监管问答》），供上市公司在信息披露实务中参考使用。这是上交所在强化监管的同时优化监管服务的一项重要举措。</w:t>
      </w:r>
    </w:p>
    <w:p>
      <w:r>
        <w:t xml:space="preserve">本次发布的《监管问答》结合以往监管案例，梳理各类业务风险集中点。一方面，针对于重要规则条款理解和认识上的偏差，明确解释、扫清误区、统一认识；另一方面，对于实务中经常出现的、规则适用方面的各种疑问，如披露标准、披露时点、披露方式、披露内容以及相关决策程序等，针对不同业务类别，各有侧重地提示规则要点和要求，明确监管标准，有效提示风险。</w:t>
      </w:r>
    </w:p>
    <w:p>
      <w:hyperlink r:id="rId28">
        <w:r>
          <w:rPr>
            <w:rStyle w:val="Link"/>
          </w:rPr>
          <w:t xml:space="preserve">来源</w:t>
        </w:r>
      </w:hyperlink>
      <w:r>
        <w:t xml:space="preserve"> </w:t>
      </w:r>
      <w:r>
        <w:t xml:space="preserve">(</w:t>
      </w:r>
      <w:hyperlink r:id="rId29">
        <w:r>
          <w:rPr>
            <w:rStyle w:val="Link"/>
          </w:rPr>
          <w:t xml:space="preserve">副本</w:t>
        </w:r>
      </w:hyperlink>
      <w:r>
        <w:t xml:space="preserve">) (</w:t>
      </w:r>
      <w:hyperlink r:id="rId30">
        <w:r>
          <w:rPr>
            <w:rStyle w:val="Link"/>
          </w:rPr>
          <w:t xml:space="preserve">副本</w:t>
        </w:r>
      </w:hyperlink>
      <w:r>
        <w:t xml:space="preserve">)</w:t>
      </w:r>
    </w:p>
    <w:p>
      <w:pPr>
        <w:pStyle w:val="Heading3"/>
      </w:pPr>
      <w:bookmarkStart w:id="31" w:name="深圳和香港签署深圳香港创新园协定"/>
      <w:bookmarkEnd w:id="31"/>
      <w:r>
        <w:t xml:space="preserve">深圳和香港签署“深圳香港创新园”协定</w:t>
      </w:r>
    </w:p>
    <w:p>
      <w:r>
        <w:t xml:space="preserve">香港特别行政区行政长官梁振英近日在亚洲金融论坛上透露，两周前，深圳市人民政府和香港特别行政区政府共同签署了一份涉及87项内地和香港合作的协定，这份被称为“深圳香港创新园”的协议，涉及很多科技孵化项目。</w:t>
      </w:r>
    </w:p>
    <w:p>
      <w:r>
        <w:t xml:space="preserve">梁振英指出，深港通去年成功推出，成为一个进一步驱动香港经济、驱动深圳经济以及广大内地经济发展的非常重要的基石。香港在前行过程当中将会有更多优势获取，虽然全球经济发展前景依然不太明朗，世界经济发展动力依然不足，但是作为香港来说，显然在这方面有很多优势，比如说通货膨胀率比较低，科学技术运用领域比较广，所以可以成为自由贸易桥头堡。梁振英还表示，香港是世界最大的离岸人民币市场，它所处理的人民币离岸交易量占世界交易量的70%。IMF已经完成了人民币入篮计划，未来显然人民币计算权重将得到进一步提升，香港金融连接者角色势必进一步凸显。香港也将成为在“一带一路“发展框架下全方位的金融服务提供商、金融服务中心城市。</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中国人民银行第三方支付备付金集中存管"/>
      <w:bookmarkEnd w:id="34"/>
      <w:r>
        <w:t xml:space="preserve">中国人民银行：第三方支付备付金集中存管</w:t>
      </w:r>
    </w:p>
    <w:p>
      <w:r>
        <w:t xml:space="preserve">中国人民银行近日发布了《中国人民银行办公厅关于实施支付机构客户备付金集中存管有关事项的通知》（以下简称《通知》），规定自2017年4月17日起，支付机构应将客户备付金按照一定比例交存至指定机构专用存款账户，由央行监管，支付机构不得挪用、占用客户备付金。据了解，该账户资金暂不计付利息。</w:t>
      </w:r>
    </w:p>
    <w:p>
      <w:r>
        <w:t xml:space="preserve">所谓客户备付金，是指支付机构为办理客户委托的支付业务而实际收到的预收待付货币资金。《通知》规定，2017年4月17日起，支付机构交存客户备付金执行10%至24%不等的比例缴存，获得多项支付业务许可的支付机构，从高适用交存比例。央行方面表示，安全是实施备付金集中存管的主要考虑之一。</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中国人民银行和国家工商总局联合印发关于个体工商户两证整合登记制度改革涉及银行账户管理有关事项的通知"/>
      <w:bookmarkEnd w:id="37"/>
      <w:r>
        <w:t xml:space="preserve">中国人民银行和国家工商总局联合印发《关于个体工商户“两证整合”登记制度改革涉及银行账户管理有关事项的通知》</w:t>
      </w:r>
    </w:p>
    <w:p>
      <w:r>
        <w:t xml:space="preserve">中国人民银行和国家工商总局近日联合印发《关于个体工商户“两证整合”登记制度改革涉及银行账户管理有关事项的通知》（以下简称《通知》），就个体工商户到银行办理人民币单位银行账户业务需提供的证明文件、人民币银行结算账户管理系统相关信息录入规则、银行账户信息变更等事项作出规定。</w:t>
      </w:r>
    </w:p>
    <w:p>
      <w:r>
        <w:t xml:space="preserve">《通知》中明确，个体工商户持加载统一社会信用代码的新版营业执照到银行业金融机构办理银行账户业务时，可不再提供税务登记证；个体工商户持电子营业执照办理银行账户业务，已配备电子营业执照识别机具的银行可以根据机读信息办理账户业务，并留存电子营业执照影印件。另外，《通知》中要求，个体工商户换发加载统一社会信用代码营业执照后，应及时到开户银行变更银行账户信息。银行通过日常业务、年检等发现账户管理系统信息与个体工商户现有证照信息不一致，应及时通知个体工商户尽快办理信息变更业务。</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税收"/>
      <w:bookmarkEnd w:id="40"/>
      <w:r>
        <w:t xml:space="preserve">税收</w:t>
      </w:r>
    </w:p>
    <w:p>
      <w:pPr>
        <w:pStyle w:val="Heading3"/>
      </w:pPr>
      <w:bookmarkStart w:id="41" w:name="财政部国家税务总局联合发布关于资管产品增值税政策有关问题的补充通知"/>
      <w:bookmarkEnd w:id="41"/>
      <w:r>
        <w:t xml:space="preserve">财政部、国家税务总局联合发布《关于资管产品增值税政策有关问题的补充通知》</w:t>
      </w:r>
    </w:p>
    <w:p>
      <w:r>
        <w:t xml:space="preserve">近日，财政部、国家税务总局联合发布了《关于资管产品增值税政策有关问题的补充通知》（以下简称《通知》）。</w:t>
      </w:r>
    </w:p>
    <w:p>
      <w:r>
        <w:t xml:space="preserve">《通知》中指出，2017年7月1日（含）以后，资管产品运营过程中发生的增值税应税行为，以资管产品管理人为增值税纳税人，按照现行规定缴纳增值税。另外，《通知》中明确，对资管产品在2017年7月1日前运营过程中发生的增值税应税行为，未缴纳增值税的，不再缴纳；已缴纳增值税的，已纳税额从资管产品管理人以后月份的增值税应纳税额中抵减。</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知识产权"/>
      <w:bookmarkEnd w:id="44"/>
      <w:r>
        <w:t xml:space="preserve">知识产权</w:t>
      </w:r>
    </w:p>
    <w:p>
      <w:pPr>
        <w:pStyle w:val="Heading3"/>
      </w:pPr>
      <w:bookmarkStart w:id="45" w:name="最高人民法院发布关于审理商标授权确权行政案件若干问题的规定"/>
      <w:bookmarkEnd w:id="45"/>
      <w:r>
        <w:t xml:space="preserve">最高人民法院发布《关于审理商标授权确权行政案件若干问题的规定》</w:t>
      </w:r>
    </w:p>
    <w:p>
      <w:r>
        <w:t xml:space="preserve">近日，最高人民法院在北京举行新闻发布会，发布了《关于审理商标授权确权行政案件若干问题的规定》（以下简称《规定》）。</w:t>
      </w:r>
    </w:p>
    <w:p>
      <w:r>
        <w:t xml:space="preserve">此次发布的《规定》进一步明确，商标标志或者其构成要素可能对我国社会公共利益和公共秩序产生消极、负面影响的，人民法院可以认定其属于商标法第十条第一款第（八）项规定的“其他不良影响”，将政治、经济、文化、宗教、民族等领域公众人物姓名等申请注册为商标，属于前款所指的“其他不良影响”。另外，《规定》的第二十条明确，当事人主张诉争商标损害其姓名权，如果相关公众认为该商标标志指代了该自然人，容易认为标记有该商标的商品系经过该自然人许可或者与该自然人存在特定联系的，人民法院应当认定该商标损害了该自然人的姓名权。</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知识产权规划首次列入国家重点专项规划"/>
      <w:bookmarkEnd w:id="48"/>
      <w:r>
        <w:t xml:space="preserve">知识产权规划首次列入国家重点专项规划</w:t>
      </w:r>
    </w:p>
    <w:p>
      <w:r>
        <w:t xml:space="preserve">日前，国务院印发《“十三五”国家知识产权保护和运用规划》（以下简称《规划》）。这是知识产权规划首次列入国家重点专项规划。《规划》指出，到2020年，每万人口发明专利拥有量将从2015年的6.3件增至12件，国际专利申请量将从2015年的3万件增至6万件。</w:t>
      </w:r>
    </w:p>
    <w:p>
      <w:r>
        <w:t xml:space="preserve">《规划》指出，知识产权与经济发展融合还不够紧密，转移转化效益还不够高，影响企业知识产权竞争能力提升。针对上述挑战，规划强调要促进知识产权高效运用，突出知识产权在科技创新、新兴产业培育方面的引领作用，加大高科技含量知识产权转移转化力度，创新知识产权运营模式和服务产品。另外，《规划》强调要提高知识产权质量效益，实施专利质量提升工程，实施商标战略，打造精品版权。</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2"/>
      </w:pPr>
      <w:bookmarkStart w:id="51" w:name="行业"/>
      <w:bookmarkEnd w:id="51"/>
      <w:r>
        <w:t xml:space="preserve">行业</w:t>
      </w:r>
    </w:p>
    <w:p>
      <w:pPr>
        <w:pStyle w:val="Heading3"/>
      </w:pPr>
      <w:bookmarkStart w:id="52" w:name="司法部进一步加强司法行政信息化建设"/>
      <w:bookmarkEnd w:id="52"/>
      <w:r>
        <w:t xml:space="preserve">司法部：进一步加强司法行政信息化建设</w:t>
      </w:r>
    </w:p>
    <w:p>
      <w:r>
        <w:t xml:space="preserve">司法部近日印发《关于进一步加强司法行政信息化建设的意见》（以下简称《意见》），就新形势下进一步加强司法行政信息化建设作出部署。</w:t>
      </w:r>
    </w:p>
    <w:p>
      <w:r>
        <w:t xml:space="preserve">《意见》中要求，以网络、数据、硬件、技术、标准建设为主体，大力加强司法行政信息化基础建设；以综合集成、业务协同、信息共享为目标，大力加强司法行政信息化综合管理平台建设。《意见》中指出，力争到2020年，建立网络纵横贯通、信息及时全面、硬件高效集约、技术成熟先进、标准科学统一的司法行政信息化体系，建成全国统一的司法行政数据库、应急指挥体系，建成涵盖司法行政各项业务的“一站式”司法行政信息化综合管理平台，形成综合集成、业务协同、信息共享的司法行政信息化工作格局，实现信息化与司法行政的深度融合，全面建成司法行政信息化升级版。</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国家工商总局正式公布网络购买商品七日无理由退货暂行办法"/>
      <w:bookmarkEnd w:id="55"/>
      <w:r>
        <w:t xml:space="preserve">国家工商总局正式公布《网络购买商品七日无理由退货暂行办法》</w:t>
      </w:r>
    </w:p>
    <w:p>
      <w:r>
        <w:t xml:space="preserve">近日，国家工商总局正式公布了《网络购买商品七日无理由退货暂行办法》（以下简称《办法》），细化了《消费者权益保护法》规定的“七日内无理由退货”制度。</w:t>
      </w:r>
    </w:p>
    <w:p>
      <w:r>
        <w:t xml:space="preserve">《办法》中明确了七天无理由退货范围，除了《消费者权益保护法》规定的不适用七日无理由退货规定的4类商品外，《办法》第七条新增了3类商品，在购买时经消费者确认，可以不适用七日无理由退货规定，即拆封后易影响人身安全或者生命健康的商品，或者拆封后易导致商品品质发生改变的商品;一经激活或者试用后价值贬损较大的商品;销售时已明示的临近保质期的商品、有瑕疵的商品。另外，《办法》明确了不适用后悔权的商品类型，以及经明示后，可以不适用后悔权的商品类型，最大程度避免了平台或销售者随意利用解释权或格式合同破坏后悔权适用的可能性。同时，加入了不适用明示的规定，平衡了特殊商品的豁免以及消费者知情权的保障。</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国务院批复西部大开发十三五规划"/>
      <w:bookmarkEnd w:id="58"/>
      <w:r>
        <w:t xml:space="preserve">国务院批复西部大开发“十三五”规划</w:t>
      </w:r>
    </w:p>
    <w:p>
      <w:r>
        <w:t xml:space="preserve">近日，国务院正式批复同意国家发展改革委组织编制的《西部大开发“十三五”规划》（以下简称《规划》）。按照批复要求，《规划》由国家发展改革委印发实施。</w:t>
      </w:r>
    </w:p>
    <w:p>
      <w:r>
        <w:t xml:space="preserve">《规划》对“十三五”时期西部大开发进行了全面部署，明确提出了重点任务及重大工程。一是筑牢国家生态安全屏障，加快完善生态文明制度建设。二是增加公共服务供给，健全社会保障制度。三是打赢脱贫攻坚战。四是促进创新驱动发展。五是坚持开放引领发展，以“一带一路”建设为统领，加快内陆沿边开放步伐。六是完善基础设施网络。继续加强交通、水利、能源、通信等基础设施建设，着力构建综合运输大通道。七是培育现代产业体系，塑造西部地区产业核心竞争力。八是大力发展特色优势农业，着力构建现代农业产业体系。九是推进新型城镇化，坚持走以人为核心的新型城镇化道路。</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国务院印发关于全民所有自然资源资产有偿使用制度改革的指导意见"/>
      <w:bookmarkEnd w:id="61"/>
      <w:r>
        <w:t xml:space="preserve">国务院印发《关于全民所有自然资源资产有偿使用制度改革的指导意见》</w:t>
      </w:r>
    </w:p>
    <w:p>
      <w:r>
        <w:t xml:space="preserve">近日经李克强总理签批，国务院印发了《关于全民所有自然资源资产有偿使用制度改革的指导意见》（以下简称《意见》）。</w:t>
      </w:r>
    </w:p>
    <w:p>
      <w:r>
        <w:t xml:space="preserve">《意见》强调，针对市场配置资源的决定性作用发挥不充分、所有权人不到位、所有权人权益不落实等突出问题，改革要坚持保护优先、合理利用，两权分离等的基本原则，力争到2020年，基本建立产权明晰、监管有效、权益落实的全民所有自然资源资产有偿使用制度。《意见》针对土地、水、矿产、森林、草原、海域海岛等6类国有自然资源不同特点和情况，分别提出了建立完善有偿使用制度的重点任务。另外，《意见》还指出，全民所有自然资源资产有偿使用制度是生态文明制度体系的一项核心制度。</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并购"/>
      <w:bookmarkEnd w:id="64"/>
      <w:r>
        <w:t xml:space="preserve">并购</w:t>
      </w:r>
    </w:p>
    <w:p>
      <w:pPr>
        <w:pStyle w:val="Heading3"/>
      </w:pPr>
      <w:bookmarkStart w:id="65" w:name="gqy视讯拟收购安元科技80股权"/>
      <w:bookmarkEnd w:id="65"/>
      <w:r>
        <w:t xml:space="preserve">GQY视讯拟收购安元科技80%股权</w:t>
      </w:r>
    </w:p>
    <w:p>
      <w:r>
        <w:t xml:space="preserve">2017年1月15日晚间，宁波GQY视讯股份有限公司（以下简称“GQY视讯”）公布了《重大资产购买预案》，其拟以现金支付方式购买南京安元科技有限公司（以下简称“安元科技”）80%股权，交易对价5.4亿元。</w:t>
      </w:r>
    </w:p>
    <w:p>
      <w:r>
        <w:t xml:space="preserve">安元科技专业从事云计算、物联网、大数据等新一代信息技术及行业应用产品的研发、销售及服务，主营业务为国内安全生产领域的软件工程项目和软件产品服务。GQY视讯方面表示，此次收购安元科技80%股权，其一是通过并入优质资产，提高上市公司盈利水平；其二是结合AR内容开发，布局安全生产监管动态可视化；其三以“工业制造2025”切入安全生产监管，重塑行业模式。</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奥特佳拟以25亿收购海四达电源"/>
      <w:bookmarkEnd w:id="68"/>
      <w:r>
        <w:t xml:space="preserve">奥特佳拟以25亿收购海四达电源</w:t>
      </w:r>
    </w:p>
    <w:p>
      <w:r>
        <w:t xml:space="preserve">南京奥特佳新能源科技有限公司（以下简称“奥特佳”）近日披露重组预案，公司拟作价25亿元收购江苏海四达电源股份有限公司（以下简称“海四达电源”）100%股权，同时定增募集配套资金15.5亿元，主要投向海四达电源募投项目建设。</w:t>
      </w:r>
    </w:p>
    <w:p>
      <w:r>
        <w:t xml:space="preserve">海四达电源是国内较早开展新能源车动力电池研发和产业化生产的企业之一，近年在动力锂电池的自主研发、生产和销售方面发展迅速。奥特佳表示，本次交易完成后，公司将新增动力锂电池业务，在新能源汽车零配件关键领域形成重要突破，形成优势互补和良好的协同效应，是公司由整体汽车空调系统供应商向多品类汽车核心零配件综合供应与服务商持续转型的重要战略举措。</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双林股份收购新三板公司诚烨股份"/>
      <w:bookmarkEnd w:id="71"/>
      <w:r>
        <w:t xml:space="preserve">双林股份收购新三板公司诚烨股份</w:t>
      </w:r>
    </w:p>
    <w:p>
      <w:r>
        <w:t xml:space="preserve">停牌2个多月的宁波双林汽车部件股份有限公司(以下简称“双林股份”)近日发布重组预案，公司拟以定增和现金的方式收购14位自然人持有的上海诚烨汽车零部件股份有限公司（以下简称“诚烨股份”）100%股权，作价4.65亿元。</w:t>
      </w:r>
    </w:p>
    <w:p>
      <w:r>
        <w:t xml:space="preserve">诚烨股份自2003年成立以来一直专注于汽车零部件车身件领域的研发、生产和销售。目前，诚烨股份已与上汽大众、上汽集团、北汽福田等整车厂商建立了紧密而稳固的合作关系。双林股份表示，通过本次交易，公司可以进一步拓展客户资源，提高一级配套业务的比重，完善客户结构；两家公司也可以共享客户渠道，将双方的优势产品导入各自的渠道中去，快速提高公司的销售规模。与此同时，重组还能丰富公司产品线，优化产品结构。本次交易完成后，公司的产品线将进一步覆盖车身窗框件、外饰件、保险杠总成、座椅托架等。</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第528期 - 2017年01月20日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d079a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28/" TargetMode="Externa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4" Target="9.pdf" TargetMode="External" /><Relationship Type="http://schemas.openxmlformats.org/officeDocument/2006/relationships/hyperlink" Id="rId66" Target="http://company.stcn.com/2017/0117/13019784.shtml" TargetMode="External" /><Relationship Type="http://schemas.openxmlformats.org/officeDocument/2006/relationships/hyperlink" Id="rId72" Target="http://company.stcn.com/2017/0117/13019792.shtml" TargetMode="External" /><Relationship Type="http://schemas.openxmlformats.org/officeDocument/2006/relationships/hyperlink" Id="rId69" Target="http://company.stcn.com/2017/0117/13019794.shtml" TargetMode="External" /><Relationship Type="http://schemas.openxmlformats.org/officeDocument/2006/relationships/hyperlink" Id="rId59" Target="http://kuaixun.stcn.com/2017/0116/13018283.shtml" TargetMode="External" /><Relationship Type="http://schemas.openxmlformats.org/officeDocument/2006/relationships/hyperlink" Id="rId32" Target="http://kuaixun.stcn.com/2017/0116/13018395.shtml" TargetMode="External" /><Relationship Type="http://schemas.openxmlformats.org/officeDocument/2006/relationships/hyperlink" Id="rId35" Target="http://news.sohu.com/20170114/n478689203.shtml" TargetMode="External" /><Relationship Type="http://schemas.openxmlformats.org/officeDocument/2006/relationships/hyperlink" Id="rId42" Target="http://szs.mof.gov.cn/zhengwuxinxi/zhengcefabu/201701/t20170106_2515807.html" TargetMode="External" /><Relationship Type="http://schemas.openxmlformats.org/officeDocument/2006/relationships/hyperlink" Id="rId56" Target="http://www.ccn.com.cn/330/930190.html" TargetMode="External" /><Relationship Type="http://schemas.openxmlformats.org/officeDocument/2006/relationships/hyperlink" Id="rId46" Target="http://www.chinalawinfo.com/News/NewsFullText.aspx?NewsId=84034&amp;NewsType=1" TargetMode="External" /><Relationship Type="http://schemas.openxmlformats.org/officeDocument/2006/relationships/hyperlink" Id="rId62" Target="http://www.chinalawinfo.com/News/NewsFullText.aspx?NewsId=84093&amp;NewsType=1" TargetMode="External" /><Relationship Type="http://schemas.openxmlformats.org/officeDocument/2006/relationships/hyperlink" Id="rId49" Target="http://www.chinalawinfo.com/News/NewsFullText.aspx?NewsId=84105&amp;NewsType=1" TargetMode="External" /><Relationship Type="http://schemas.openxmlformats.org/officeDocument/2006/relationships/hyperlink" Id="rId53" Target="http://www.legaldaily.com.cn/index_article/content/2017-01/12/content_6953638.htm?node=5955" TargetMode="External" /><Relationship Type="http://schemas.openxmlformats.org/officeDocument/2006/relationships/hyperlink" Id="rId38" Target="http://www.saic.gov.cn/ywdt/gsyw/zjyw/xxb/201701/t20170116_174347.html" TargetMode="External" /><Relationship Type="http://schemas.openxmlformats.org/officeDocument/2006/relationships/hyperlink" Id="rId28" Target="http://www.sse.com.cn/aboutus/mediacenter/hotandd/c/c_20170115_4228359.shtml" TargetMode="External" /><Relationship Type="http://schemas.openxmlformats.org/officeDocument/2006/relationships/hyperlink" Id="rId25" Target="http://www.stcn.com/2017/0118/13021530.shtml"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28/" TargetMode="Externa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4" Target="9.pdf" TargetMode="External" /><Relationship Type="http://schemas.openxmlformats.org/officeDocument/2006/relationships/hyperlink" Id="rId66" Target="http://company.stcn.com/2017/0117/13019784.shtml" TargetMode="External" /><Relationship Type="http://schemas.openxmlformats.org/officeDocument/2006/relationships/hyperlink" Id="rId72" Target="http://company.stcn.com/2017/0117/13019792.shtml" TargetMode="External" /><Relationship Type="http://schemas.openxmlformats.org/officeDocument/2006/relationships/hyperlink" Id="rId69" Target="http://company.stcn.com/2017/0117/13019794.shtml" TargetMode="External" /><Relationship Type="http://schemas.openxmlformats.org/officeDocument/2006/relationships/hyperlink" Id="rId59" Target="http://kuaixun.stcn.com/2017/0116/13018283.shtml" TargetMode="External" /><Relationship Type="http://schemas.openxmlformats.org/officeDocument/2006/relationships/hyperlink" Id="rId32" Target="http://kuaixun.stcn.com/2017/0116/13018395.shtml" TargetMode="External" /><Relationship Type="http://schemas.openxmlformats.org/officeDocument/2006/relationships/hyperlink" Id="rId35" Target="http://news.sohu.com/20170114/n478689203.shtml" TargetMode="External" /><Relationship Type="http://schemas.openxmlformats.org/officeDocument/2006/relationships/hyperlink" Id="rId42" Target="http://szs.mof.gov.cn/zhengwuxinxi/zhengcefabu/201701/t20170106_2515807.html" TargetMode="External" /><Relationship Type="http://schemas.openxmlformats.org/officeDocument/2006/relationships/hyperlink" Id="rId56" Target="http://www.ccn.com.cn/330/930190.html" TargetMode="External" /><Relationship Type="http://schemas.openxmlformats.org/officeDocument/2006/relationships/hyperlink" Id="rId46" Target="http://www.chinalawinfo.com/News/NewsFullText.aspx?NewsId=84034&amp;NewsType=1" TargetMode="External" /><Relationship Type="http://schemas.openxmlformats.org/officeDocument/2006/relationships/hyperlink" Id="rId62" Target="http://www.chinalawinfo.com/News/NewsFullText.aspx?NewsId=84093&amp;NewsType=1" TargetMode="External" /><Relationship Type="http://schemas.openxmlformats.org/officeDocument/2006/relationships/hyperlink" Id="rId49" Target="http://www.chinalawinfo.com/News/NewsFullText.aspx?NewsId=84105&amp;NewsType=1" TargetMode="External" /><Relationship Type="http://schemas.openxmlformats.org/officeDocument/2006/relationships/hyperlink" Id="rId53" Target="http://www.legaldaily.com.cn/index_article/content/2017-01/12/content_6953638.htm?node=5955" TargetMode="External" /><Relationship Type="http://schemas.openxmlformats.org/officeDocument/2006/relationships/hyperlink" Id="rId38" Target="http://www.saic.gov.cn/ywdt/gsyw/zjyw/xxb/201701/t20170116_174347.html" TargetMode="External" /><Relationship Type="http://schemas.openxmlformats.org/officeDocument/2006/relationships/hyperlink" Id="rId28" Target="http://www.sse.com.cn/aboutus/mediacenter/hotandd/c/c_20170115_4228359.shtml" TargetMode="External" /><Relationship Type="http://schemas.openxmlformats.org/officeDocument/2006/relationships/hyperlink" Id="rId25" Target="http://www.stcn.com/2017/0118/13021530.shtml"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第528期 - 2017年01月20日</dc:title>
  <dc:creator/>
</cp:coreProperties>
</file>